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9C473D" w:rsidRDefault="00000000" w14:paraId="34F2726A" w14:textId="77777777">
      <w:pPr>
        <w:spacing w:after="60"/>
      </w:pPr>
      <w:r>
        <w:rPr>
          <w:b/>
          <w:bCs/>
          <w:caps/>
          <w:color w:val="444444"/>
          <w:sz w:val="20"/>
          <w:szCs w:val="20"/>
        </w:rPr>
        <w:t>INTERNET SECURITY ALLIANCE</w:t>
      </w:r>
    </w:p>
    <w:p w:rsidR="009C473D" w:rsidP="38AAE9D7" w:rsidRDefault="00000000" w14:paraId="541C1E7A" w14:textId="77777777">
      <w:pPr>
        <w:pBdr>
          <w:bottom w:val="single" w:color="888888" w:sz="6" w:space="8"/>
        </w:pBdr>
        <w:spacing w:after="360"/>
      </w:pPr>
      <w:r w:rsidRPr="38AAE9D7" w:rsidR="56D518B1">
        <w:rPr>
          <w:color w:val="444444"/>
          <w:sz w:val="20"/>
          <w:szCs w:val="20"/>
        </w:rPr>
        <w:t xml:space="preserve">AI Cybersecurity Sector Analysis </w:t>
      </w:r>
      <w:bookmarkStart w:name="_Int_kK7kCae7" w:id="655293827"/>
      <w:r w:rsidRPr="38AAE9D7" w:rsidR="56D518B1">
        <w:rPr>
          <w:color w:val="444444"/>
          <w:sz w:val="20"/>
          <w:szCs w:val="20"/>
        </w:rPr>
        <w:t>Series  |</w:t>
      </w:r>
      <w:bookmarkEnd w:id="655293827"/>
      <w:r w:rsidRPr="38AAE9D7" w:rsidR="56D518B1">
        <w:rPr>
          <w:color w:val="444444"/>
          <w:sz w:val="20"/>
          <w:szCs w:val="20"/>
        </w:rPr>
        <w:t xml:space="preserve">  July 2026 Board Meeting</w:t>
      </w:r>
    </w:p>
    <w:p w:rsidR="009C473D" w:rsidRDefault="00000000" w14:paraId="55CA2395" w14:textId="77777777">
      <w:pPr>
        <w:spacing w:after="120" w:line="300" w:lineRule="auto"/>
      </w:pPr>
      <w:r>
        <w:rPr>
          <w:b/>
          <w:bCs/>
          <w:sz w:val="40"/>
          <w:szCs w:val="40"/>
        </w:rPr>
        <w:t>Trusted AI for the Energy and Industrial Sector</w:t>
      </w:r>
    </w:p>
    <w:p w:rsidR="009C473D" w:rsidRDefault="00000000" w14:paraId="46C3EF3C" w14:textId="77777777">
      <w:pPr>
        <w:spacing w:after="240" w:line="280" w:lineRule="auto"/>
      </w:pPr>
      <w:r w:rsidRPr="38AAE9D7" w:rsidR="56D518B1">
        <w:rPr>
          <w:i w:val="1"/>
          <w:iCs w:val="1"/>
          <w:color w:val="333333"/>
          <w:sz w:val="26"/>
          <w:szCs w:val="26"/>
        </w:rPr>
        <w:t xml:space="preserve">An Operator's View </w:t>
      </w:r>
      <w:bookmarkStart w:name="_Int_y3kGFKet" w:id="1291955860"/>
      <w:r w:rsidRPr="38AAE9D7" w:rsidR="56D518B1">
        <w:rPr>
          <w:i w:val="1"/>
          <w:iCs w:val="1"/>
          <w:color w:val="333333"/>
          <w:sz w:val="26"/>
          <w:szCs w:val="26"/>
        </w:rPr>
        <w:t>From</w:t>
      </w:r>
      <w:bookmarkEnd w:id="1291955860"/>
      <w:r w:rsidRPr="38AAE9D7" w:rsidR="56D518B1">
        <w:rPr>
          <w:i w:val="1"/>
          <w:iCs w:val="1"/>
          <w:color w:val="333333"/>
          <w:sz w:val="26"/>
          <w:szCs w:val="26"/>
        </w:rPr>
        <w:t xml:space="preserve"> the OEM Floor: Cyber Risk Across the Industrial Value Chain and the Case for Cross-Sector Trusted AI</w:t>
      </w:r>
    </w:p>
    <w:p w:rsidR="009C473D" w:rsidRDefault="00000000" w14:paraId="65BD9E0C" w14:textId="77777777">
      <w:pPr>
        <w:spacing w:after="40"/>
      </w:pPr>
      <w:r>
        <w:rPr>
          <w:color w:val="333333"/>
          <w:sz w:val="21"/>
          <w:szCs w:val="21"/>
        </w:rPr>
        <w:t xml:space="preserve">Based on the sector presentation by Mike Woods, Vice President, Cybersecurity, and CISO Chief of Staff, GE </w:t>
      </w:r>
      <w:proofErr w:type="spellStart"/>
      <w:r>
        <w:rPr>
          <w:color w:val="333333"/>
          <w:sz w:val="21"/>
          <w:szCs w:val="21"/>
        </w:rPr>
        <w:t>Vernova</w:t>
      </w:r>
      <w:proofErr w:type="spellEnd"/>
    </w:p>
    <w:p w:rsidR="009C473D" w:rsidRDefault="00000000" w14:paraId="3665169D" w14:textId="77777777">
      <w:pPr>
        <w:pBdr>
          <w:bottom w:val="single" w:color="888888" w:sz="6" w:space="8"/>
        </w:pBdr>
        <w:spacing w:after="240"/>
      </w:pPr>
      <w:r>
        <w:rPr>
          <w:i/>
          <w:color w:val="666666"/>
          <w:sz w:val="19"/>
        </w:rPr>
        <w:t>Revised from the sector presentation and board-member discussion reflected in the source draft</w:t>
      </w:r>
    </w:p>
    <w:p w:rsidRPr="003A353C" w:rsidR="003A353C" w:rsidP="003A353C" w:rsidRDefault="003A353C" w14:paraId="605897BB" w14:textId="5C05A967">
      <w:pPr>
        <w:spacing w:after="160" w:line="276" w:lineRule="auto"/>
        <w:jc w:val="both"/>
        <w:rPr>
          <w:b/>
          <w:bCs/>
          <w:sz w:val="28"/>
          <w:szCs w:val="28"/>
        </w:rPr>
      </w:pPr>
      <w:r w:rsidRPr="003A353C">
        <w:rPr>
          <w:b/>
          <w:bCs/>
          <w:sz w:val="28"/>
          <w:szCs w:val="28"/>
        </w:rPr>
        <w:t>BACKGROUND</w:t>
      </w:r>
    </w:p>
    <w:p w:rsidR="003A353C" w:rsidP="003A353C" w:rsidRDefault="003A353C" w14:paraId="074CAB9B" w14:textId="5B517DEB">
      <w:pPr>
        <w:spacing w:after="160" w:line="276" w:lineRule="auto"/>
        <w:jc w:val="both"/>
      </w:pPr>
      <w:r>
        <w:t xml:space="preserve">GE </w:t>
      </w:r>
      <w:proofErr w:type="spellStart"/>
      <w:r>
        <w:t>Vernova</w:t>
      </w:r>
      <w:proofErr w:type="spellEnd"/>
      <w:r>
        <w:t xml:space="preserve"> builds everything from nuclear plants to wind farms to gas turbines and grid equipment, develops products on every continent except Antarctica, and manages tens of thousands of suppliers. From that seat, AI is not a single technology decision. It's a transformation across every layer of the industrial value chain — design, build, run — and each layer carries implementation requirements that spill well past cybersecurity into engineering, procurement, legal, and product management.</w:t>
      </w:r>
    </w:p>
    <w:p w:rsidR="003A353C" w:rsidP="003A353C" w:rsidRDefault="003A353C" w14:paraId="23601E8B" w14:textId="1371BEF2">
      <w:pPr>
        <w:spacing w:after="160" w:line="276" w:lineRule="auto"/>
        <w:jc w:val="both"/>
      </w:pPr>
      <w:r w:rsidR="728A666C">
        <w:rPr/>
        <w:t xml:space="preserve">The threat picture is a duality: AI simultaneously drops the cost, bincreases speed, and sophistication of attacks while accelerating operational efficiency across the enterprise. Three vectors lead. AI-generated phishing and smishing — personalized campaigns against utility executives and finance teams, including deepfake voice fraud for wire transfers, in the direct lineage of MGM and Jaguar Land Rover. AI-assisted vulnerability discovery — nation-states pointing frontier-class models (Mythos et al.) </w:t>
      </w:r>
      <w:r w:rsidR="728A666C">
        <w:rPr/>
        <w:t>at</w:t>
      </w:r>
      <w:r w:rsidR="728A666C">
        <w:rPr/>
        <w:t xml:space="preserve"> industrial software, ICS/SCADA, and grid management at machine speed. And AI-accelerated ransomware targeting OT — with the prospect of autonomous malware self-propagating across smart substations, digital twins, and connected field equipment. Against that, our OT response toolkit is still </w:t>
      </w:r>
      <w:r w:rsidR="728A666C">
        <w:rPr/>
        <w:t>blunt</w:t>
      </w:r>
      <w:r w:rsidR="728A666C">
        <w:rPr/>
        <w:t xml:space="preserve"> objects: shut the site down, then remediate. What we </w:t>
      </w:r>
      <w:r w:rsidR="728A666C">
        <w:rPr/>
        <w:t>don't</w:t>
      </w:r>
      <w:r w:rsidR="728A666C">
        <w:rPr/>
        <w:t xml:space="preserve"> have is scalpels — surgical containment inside an OT network. Ukraine's grid attack, which forced a wintertime fallback to manual operations years before the current conflict, is the standing proof that adversaries understand this paradigm.</w:t>
      </w:r>
    </w:p>
    <w:p w:rsidR="003A353C" w:rsidP="003A353C" w:rsidRDefault="003A353C" w14:paraId="39808E0B" w14:textId="77777777">
      <w:pPr>
        <w:spacing w:after="160" w:line="276" w:lineRule="auto"/>
        <w:jc w:val="both"/>
      </w:pPr>
      <w:r>
        <w:t xml:space="preserve">The diagnosis underneath it all is a trust gap: AI is transforming faster than organizations, standards, and governments can stand up consistent governance — and energy, which uniquely combines critical infrastructure, industrial manufacturing, OT, and national security, can't ignore it. The prescriptions: move from isolated, one-off governance to reusable design patterns shared across industries; make boards demand evidence, not aspirations; expand voluntary government testing on the DOE </w:t>
      </w:r>
      <w:proofErr w:type="spellStart"/>
      <w:r>
        <w:t>CyTRICS</w:t>
      </w:r>
      <w:proofErr w:type="spellEnd"/>
      <w:r>
        <w:t xml:space="preserve"> model; mutualize confidence through registries of reliable agents and validated datasets; and build ISA, over three years, into the recognized cross-sector convening body for Trusted AI governance. The takeaway line the board heard: AI is turning cyber risk from a technology issue into an enterprise resilience and business strategy gap to close.</w:t>
      </w:r>
    </w:p>
    <w:p w:rsidR="003A353C" w:rsidP="003A353C" w:rsidRDefault="003A353C" w14:paraId="13D603C8" w14:textId="77777777">
      <w:pPr>
        <w:pStyle w:val="Heading1"/>
        <w:spacing w:before="300" w:after="140"/>
      </w:pPr>
      <w:r>
        <w:rPr>
          <w:b/>
          <w:bCs/>
          <w:color w:val="1F3352"/>
          <w:sz w:val="27"/>
          <w:szCs w:val="27"/>
        </w:rPr>
        <w:lastRenderedPageBreak/>
        <w:t>Where the Sector Stands: AI Across the Value Chain</w:t>
      </w:r>
    </w:p>
    <w:p w:rsidR="003A353C" w:rsidP="003A353C" w:rsidRDefault="003A353C" w14:paraId="145BC396" w14:textId="77777777">
      <w:pPr>
        <w:spacing w:after="160" w:line="276" w:lineRule="auto"/>
        <w:jc w:val="both"/>
      </w:pPr>
      <w:r>
        <w:t xml:space="preserve">Walk the value chain, because that's how an industrial </w:t>
      </w:r>
      <w:proofErr w:type="gramStart"/>
      <w:r>
        <w:t>actually encounters</w:t>
      </w:r>
      <w:proofErr w:type="gramEnd"/>
      <w:r>
        <w:t xml:space="preserve"> this — design on the left, build in the middle, run on the right.</w:t>
      </w:r>
    </w:p>
    <w:p w:rsidR="003A353C" w:rsidP="003A353C" w:rsidRDefault="003A353C" w14:paraId="1F6B0040" w14:textId="77777777">
      <w:pPr>
        <w:spacing w:after="160" w:line="276" w:lineRule="auto"/>
        <w:jc w:val="both"/>
      </w:pPr>
      <w:r>
        <w:t>Product engineering. Our engineers are already using AI copilots to develop software and firmware for products whose failure modes are physical. What governance looks like here: AI model validation inside the secure development lifecycle, adversarial testing, and bills of materials that include the AI components — SBOMs and now AIBOMs — so what's inside a product is knowable to us, our customers, and eventually the regulators.</w:t>
      </w:r>
    </w:p>
    <w:p w:rsidR="003A353C" w:rsidP="003A353C" w:rsidRDefault="003A353C" w14:paraId="66F557E9" w14:textId="77777777">
      <w:pPr>
        <w:spacing w:after="160" w:line="276" w:lineRule="auto"/>
        <w:jc w:val="both"/>
      </w:pPr>
      <w:r>
        <w:t>Manufacturing and OT. AI is already on our shop floors improving quality and predictive maintenance — wind-turbine blade inspection with AI-enabled robotics and imaging, for one. We're investing heavily in robotics, and so is everyone in the sector, largely for safety: every time a person lifts something on a shop floor, you're putting human life and health at risk. But every robotic and software-defined component carries a digital attack path, and AI pieces are being developed for the industrial control systems themselves — the heart of how these products get made. Controls at this layer: data governance for training sets, logical separation from ICS, mandatory human-in-the-loop for production decisions, model drift monitoring.</w:t>
      </w:r>
    </w:p>
    <w:p w:rsidR="003A353C" w:rsidP="003A353C" w:rsidRDefault="003A353C" w14:paraId="6D3A7C7A" w14:textId="77777777">
      <w:pPr>
        <w:spacing w:after="160" w:line="276" w:lineRule="auto"/>
        <w:jc w:val="both"/>
      </w:pPr>
      <w:r>
        <w:t xml:space="preserve">Supply chain. Tens of thousands of suppliers globally, and they're all doing the same thing with AI — without a distinctive security approach that sets them apart. </w:t>
      </w:r>
      <w:proofErr w:type="gramStart"/>
      <w:r>
        <w:t>So</w:t>
      </w:r>
      <w:proofErr w:type="gramEnd"/>
      <w:r>
        <w:t xml:space="preserve"> the questions become operational fast: how does this land in third-party risk management? In contracts? And it runs both directions — customers are now asking us what we're doing with AI that could affect their use of our products. AI governance is a contract-review and customer-trust issue, not just an internal one. The toolkit: AI governance clauses in procurement contracts, vendor AI-usage disclosure, third-party maturity assessments, component validation before integration.</w:t>
      </w:r>
    </w:p>
    <w:p w:rsidR="003A353C" w:rsidP="003A353C" w:rsidRDefault="003A353C" w14:paraId="77C657AB" w14:textId="77777777">
      <w:pPr>
        <w:spacing w:after="160" w:line="276" w:lineRule="auto"/>
        <w:jc w:val="both"/>
      </w:pPr>
      <w:r>
        <w:t>Operations and field services. AI already informs grid management and field dispatch. Field-deployed equipment carries embedded software and remote connectivity, which pushes the enterprise security perimeter into the physical world — where customers, contractors, and third parties touch deployed assets while using AI themselves. Governance: decision audit trails, defined human-in-the-loop thresholds, incident response protocols for AI failures. Add customer platforms: digital service tools aggregating sensitive operational data across a customer base that all wants different things, under different regulatory constructs depending on the jurisdiction — concentration risk wherever AI safeguards are absent.</w:t>
      </w:r>
    </w:p>
    <w:p w:rsidR="003A353C" w:rsidP="003A353C" w:rsidRDefault="003A353C" w14:paraId="64F24CE7" w14:textId="0F1E2500">
      <w:pPr>
        <w:keepNext/>
        <w:spacing w:before="320" w:after="160" w:line="252" w:lineRule="auto"/>
        <w:rPr>
          <w:b/>
          <w:color w:val="1F3352"/>
          <w:sz w:val="26"/>
        </w:rPr>
      </w:pPr>
      <w:r>
        <w:t xml:space="preserve">The framing point, stated explicitly for the board: this design-build-run structure is shared across energy, healthcare, financial services, manufacturing, telecom, and transportation. Any industrial </w:t>
      </w:r>
      <w:r>
        <w:lastRenderedPageBreak/>
        <w:t>could reuse these patterns. That's the premise of the sector's central policy proposal — build the governance patterns once, well, and share them, instead of every industry reinventing in isolation</w:t>
      </w:r>
    </w:p>
    <w:p w:rsidR="003A353C" w:rsidRDefault="003A353C" w14:paraId="4D3BB99D" w14:textId="27B23F78">
      <w:pPr>
        <w:keepNext/>
        <w:spacing w:before="320" w:after="160" w:line="252" w:lineRule="auto"/>
        <w:rPr>
          <w:b/>
          <w:color w:val="1F3352"/>
          <w:sz w:val="26"/>
        </w:rPr>
      </w:pPr>
      <w:r>
        <w:rPr>
          <w:b/>
          <w:color w:val="1F3352"/>
          <w:sz w:val="26"/>
        </w:rPr>
        <w:t>PUBLIC POLICY QUESTIONS</w:t>
      </w:r>
    </w:p>
    <w:p w:rsidR="009C473D" w:rsidRDefault="00000000" w14:paraId="1E7546B9" w14:textId="2B6E9AF7">
      <w:pPr>
        <w:keepNext/>
        <w:spacing w:before="320" w:after="160" w:line="252" w:lineRule="auto"/>
      </w:pPr>
      <w:r>
        <w:rPr>
          <w:b/>
          <w:color w:val="1F3352"/>
          <w:sz w:val="26"/>
        </w:rPr>
        <w:t xml:space="preserve">Question 1: What </w:t>
      </w:r>
      <w:proofErr w:type="gramStart"/>
      <w:r>
        <w:rPr>
          <w:b/>
          <w:color w:val="1F3352"/>
          <w:sz w:val="26"/>
        </w:rPr>
        <w:t>are</w:t>
      </w:r>
      <w:proofErr w:type="gramEnd"/>
      <w:r>
        <w:rPr>
          <w:b/>
          <w:color w:val="1F3352"/>
          <w:sz w:val="26"/>
        </w:rPr>
        <w:t xml:space="preserve"> the cybersecurity operational &amp; policy gaps/challenges that the introduction of AI presents to privately owned critical infrastructure?</w:t>
      </w:r>
    </w:p>
    <w:p w:rsidR="009C473D" w:rsidRDefault="00000000" w14:paraId="1426DCC9" w14:textId="77777777">
      <w:pPr>
        <w:keepNext/>
        <w:spacing w:before="160" w:after="60"/>
      </w:pPr>
      <w:r>
        <w:rPr>
          <w:b/>
          <w:i/>
          <w:color w:val="1F3352"/>
          <w:sz w:val="23"/>
        </w:rPr>
        <w:t>AI risk spans the full industrial value chain</w:t>
      </w:r>
    </w:p>
    <w:p w:rsidR="009C473D" w:rsidRDefault="00000000" w14:paraId="31F0B9A0" w14:textId="77777777">
      <w:pPr>
        <w:spacing w:after="160" w:line="276" w:lineRule="auto"/>
        <w:jc w:val="both"/>
      </w:pPr>
      <w:r>
        <w:t>The presenter described AI adoption across product engineering, manufacturing and operational technology, the supply chain, and field operations. Engineers are using AI-assisted tools to develop software and firmware for products whose failure modes can be physical. AI-enabled robotics and analytics are being used for quality, safety, and predictive maintenance. Suppliers and customers are also introducing AI into connected products and services. The resulting risk is not confined to the information-technology environment; it extends into engineering, procurement, product security, contracting, and operations.</w:t>
      </w:r>
    </w:p>
    <w:p w:rsidR="009C473D" w:rsidRDefault="00000000" w14:paraId="7B0E0836" w14:textId="77777777">
      <w:pPr>
        <w:keepNext/>
        <w:spacing w:before="160" w:after="60"/>
      </w:pPr>
      <w:r>
        <w:rPr>
          <w:b/>
          <w:i/>
          <w:color w:val="1F3352"/>
          <w:sz w:val="23"/>
        </w:rPr>
        <w:t>Modernization expands the operational attack surface</w:t>
      </w:r>
    </w:p>
    <w:p w:rsidR="009C473D" w:rsidRDefault="00000000" w14:paraId="645DFEB2" w14:textId="77777777">
      <w:pPr>
        <w:spacing w:after="160" w:line="276" w:lineRule="auto"/>
        <w:jc w:val="both"/>
      </w:pPr>
      <w:r>
        <w:t>Grid modernization depends on greater connectivity among smart devices, distributed energy resources, substations, industrial control systems, and grid-management platforms. The presenter identified a timing mismatch between modernization and security: organizations are connecting equipment and introducing AI faster than they can establish consistent controls. Because availability is central to the sector's mission, a cyber incident can become an interruption of energy delivery or a physical safety event.</w:t>
      </w:r>
    </w:p>
    <w:p w:rsidR="009C473D" w:rsidRDefault="00000000" w14:paraId="0500CEE8" w14:textId="77777777">
      <w:pPr>
        <w:keepNext/>
        <w:spacing w:before="160" w:after="60"/>
      </w:pPr>
      <w:r>
        <w:rPr>
          <w:b/>
          <w:i/>
          <w:color w:val="1F3352"/>
          <w:sz w:val="23"/>
        </w:rPr>
        <w:t>Machine-speed vulnerability discovery strains existing practices</w:t>
      </w:r>
    </w:p>
    <w:p w:rsidR="009C473D" w:rsidRDefault="00000000" w14:paraId="0B0E3E66" w14:textId="77777777">
      <w:pPr>
        <w:spacing w:after="160" w:line="276" w:lineRule="auto"/>
        <w:jc w:val="both"/>
      </w:pPr>
      <w:r>
        <w:t xml:space="preserve">The presenter reported that AI can be used to identify weaknesses in industrial software and operational environments at a speed that conventional vulnerability-management processes cannot match. Industrial systems are often long-lived, embedded, and difficult to patch. GE </w:t>
      </w:r>
      <w:proofErr w:type="spellStart"/>
      <w:r>
        <w:t>Vernova's</w:t>
      </w:r>
      <w:proofErr w:type="spellEnd"/>
      <w:r>
        <w:t xml:space="preserve"> response has included testing its own environment with multiple advanced models so that weaknesses can be found before an adversary exploits them. The related challenge is prioritization: organizations may need to emphasize impact mitigation and resilience when every discovered weakness cannot be remediated immediately.</w:t>
      </w:r>
    </w:p>
    <w:p w:rsidR="009C473D" w:rsidRDefault="00000000" w14:paraId="3C7C97A9" w14:textId="77777777">
      <w:pPr>
        <w:keepNext/>
        <w:spacing w:before="160" w:after="60"/>
      </w:pPr>
      <w:r>
        <w:rPr>
          <w:b/>
          <w:i/>
          <w:color w:val="1F3352"/>
          <w:sz w:val="23"/>
        </w:rPr>
        <w:t>OT response lacks granular containment</w:t>
      </w:r>
    </w:p>
    <w:p w:rsidR="009C473D" w:rsidRDefault="00000000" w14:paraId="12D3089C" w14:textId="77777777">
      <w:pPr>
        <w:spacing w:after="160" w:line="276" w:lineRule="auto"/>
        <w:jc w:val="both"/>
      </w:pPr>
      <w:r>
        <w:t>The presenter distinguished between shutting down an affected site and isolating a compromised component within an operational network. Current response options often rely on broad shutdown and remediation. The missing capability is more precise containment that protects availability while limiting the spread of an incident. AI-enabled or accelerated ransomware heightens the importance of this gap because connected field equipment, digital twins, and smart substations can create pathways across the operational environment.</w:t>
      </w:r>
    </w:p>
    <w:p w:rsidR="009C473D" w:rsidRDefault="00000000" w14:paraId="44FE16D2" w14:textId="77777777">
      <w:pPr>
        <w:keepNext/>
        <w:spacing w:before="160" w:after="60"/>
      </w:pPr>
      <w:r>
        <w:rPr>
          <w:b/>
          <w:i/>
          <w:color w:val="1F3352"/>
          <w:sz w:val="23"/>
        </w:rPr>
        <w:t>Social engineering, supply-chain, and commercial risks are increasing</w:t>
      </w:r>
    </w:p>
    <w:p w:rsidR="009C473D" w:rsidRDefault="00000000" w14:paraId="62BE616F" w14:textId="77777777">
      <w:pPr>
        <w:spacing w:after="160" w:line="276" w:lineRule="auto"/>
        <w:jc w:val="both"/>
      </w:pPr>
      <w:r>
        <w:t xml:space="preserve">AI can make phishing, smishing, impersonation, and voice-fraud campaigns more tailored and scalable. At the same time, suppliers may use AI without a consistent security approach or disclosure </w:t>
      </w:r>
      <w:r>
        <w:lastRenderedPageBreak/>
        <w:t xml:space="preserve">practice. Customers are beginning to ask how AI used by an original equipment manufacturer could affect the products and services they receive. The presenter therefore treated AI governance as a </w:t>
      </w:r>
      <w:proofErr w:type="gramStart"/>
      <w:r>
        <w:t>third-party</w:t>
      </w:r>
      <w:proofErr w:type="gramEnd"/>
      <w:r>
        <w:t>-risk, procurement, contract-review, and customer-trust issue as well as a technical-security issue.</w:t>
      </w:r>
    </w:p>
    <w:p w:rsidR="009C473D" w:rsidRDefault="00000000" w14:paraId="3CACD5C9" w14:textId="77777777">
      <w:pPr>
        <w:keepNext/>
        <w:spacing w:before="160" w:after="60"/>
      </w:pPr>
      <w:r>
        <w:rPr>
          <w:b/>
          <w:i/>
          <w:color w:val="1F3352"/>
          <w:sz w:val="23"/>
        </w:rPr>
        <w:t>Governance is not keeping pace with deployment</w:t>
      </w:r>
    </w:p>
    <w:p w:rsidR="009C473D" w:rsidRDefault="00000000" w14:paraId="4D926087" w14:textId="77777777">
      <w:pPr>
        <w:spacing w:after="160" w:line="276" w:lineRule="auto"/>
        <w:jc w:val="both"/>
      </w:pPr>
      <w:r>
        <w:t>The presenter characterized the underlying challenge as a trust gap between the pace of AI innovation and the ability of organizations, standards bodies, and governments to establish reliable governance. The challenge is particularly acute in energy and industrial environments because AI decisions may affect physical processes, safety, and national resilience.</w:t>
      </w:r>
    </w:p>
    <w:p w:rsidR="009C473D" w:rsidRDefault="00000000" w14:paraId="038DF316" w14:textId="77777777">
      <w:pPr>
        <w:keepNext/>
        <w:spacing w:before="320" w:after="160" w:line="252" w:lineRule="auto"/>
      </w:pPr>
      <w:r>
        <w:rPr>
          <w:b/>
          <w:color w:val="1F3352"/>
          <w:sz w:val="26"/>
        </w:rPr>
        <w:t>Question 2: What policy initiatives are needed to create a cybersecurity model to address the gaps effectively and sustainably for government &amp; industry?</w:t>
      </w:r>
    </w:p>
    <w:p w:rsidR="009C473D" w:rsidRDefault="00000000" w14:paraId="77B356E0" w14:textId="77777777">
      <w:pPr>
        <w:keepNext/>
        <w:spacing w:before="160" w:after="60"/>
      </w:pPr>
      <w:r>
        <w:rPr>
          <w:b/>
          <w:i/>
          <w:color w:val="1F3352"/>
          <w:sz w:val="23"/>
        </w:rPr>
        <w:t>Reusable governance patterns</w:t>
      </w:r>
    </w:p>
    <w:p w:rsidR="009C473D" w:rsidRDefault="00000000" w14:paraId="3618BEF2" w14:textId="77777777">
      <w:pPr>
        <w:spacing w:after="160" w:line="276" w:lineRule="auto"/>
        <w:jc w:val="both"/>
      </w:pPr>
      <w:r>
        <w:t>The presenter proposed developing common implementation patterns that can be reused across industries rather than requiring each organization or sector to design governance independently. The presentation's design-build-run structure was offered as a practical way to organize controls across product engineering, manufacturing, supply chains, and operations.</w:t>
      </w:r>
    </w:p>
    <w:p w:rsidR="009C473D" w:rsidRDefault="00000000" w14:paraId="6E620F38" w14:textId="77777777">
      <w:pPr>
        <w:keepNext/>
        <w:spacing w:before="160" w:after="60"/>
      </w:pPr>
      <w:r>
        <w:rPr>
          <w:b/>
          <w:i/>
          <w:color w:val="1F3352"/>
          <w:sz w:val="23"/>
        </w:rPr>
        <w:t>Voluntary shared testing</w:t>
      </w:r>
    </w:p>
    <w:p w:rsidR="009C473D" w:rsidRDefault="00000000" w14:paraId="42EED838" w14:textId="77777777">
      <w:pPr>
        <w:spacing w:after="160" w:line="276" w:lineRule="auto"/>
        <w:jc w:val="both"/>
      </w:pPr>
      <w:r>
        <w:t xml:space="preserve">The presenter identified the Department of Energy's </w:t>
      </w:r>
      <w:proofErr w:type="spellStart"/>
      <w:r>
        <w:t>CyTRICS</w:t>
      </w:r>
      <w:proofErr w:type="spellEnd"/>
      <w:r>
        <w:t xml:space="preserve"> model as an example of voluntary, expert government testing that can provide assurance to multiple organizations. The proposal reflected in the source draft is to extend that approach to AI-related risk and consider comparable mechanisms for other critical-infrastructure sectors.</w:t>
      </w:r>
    </w:p>
    <w:p w:rsidR="009C473D" w:rsidRDefault="00000000" w14:paraId="5FE9C65E" w14:textId="77777777">
      <w:pPr>
        <w:keepNext/>
        <w:spacing w:before="160" w:after="60"/>
      </w:pPr>
      <w:r>
        <w:rPr>
          <w:b/>
          <w:i/>
          <w:color w:val="1F3352"/>
          <w:sz w:val="23"/>
        </w:rPr>
        <w:t>Shared assurance resources</w:t>
      </w:r>
    </w:p>
    <w:p w:rsidR="009C473D" w:rsidRDefault="00000000" w14:paraId="266BDED0" w14:textId="77777777">
      <w:pPr>
        <w:spacing w:after="160" w:line="276" w:lineRule="auto"/>
        <w:jc w:val="both"/>
      </w:pPr>
      <w:r>
        <w:t>The presentation and board discussion included registries of reliable agents, validated datasets, and other shared assurance resources that organizations could consult rather than independently repeating the same verification work. The draft also attributes to the discussion the idea of pairing shared assurance with baseline cybersecurity hygiene for participating organizations.</w:t>
      </w:r>
    </w:p>
    <w:p w:rsidR="009C473D" w:rsidRDefault="00000000" w14:paraId="134FA32A" w14:textId="77777777">
      <w:pPr>
        <w:keepNext/>
        <w:spacing w:before="160" w:after="60"/>
      </w:pPr>
      <w:r>
        <w:rPr>
          <w:b/>
          <w:i/>
          <w:color w:val="1F3352"/>
          <w:sz w:val="23"/>
        </w:rPr>
        <w:t>Security-conditioned modernization incentives</w:t>
      </w:r>
    </w:p>
    <w:p w:rsidR="009C473D" w:rsidRDefault="00000000" w14:paraId="71332E50" w14:textId="77777777">
      <w:pPr>
        <w:spacing w:after="160" w:line="276" w:lineRule="auto"/>
        <w:jc w:val="both"/>
      </w:pPr>
      <w:r>
        <w:t xml:space="preserve">Board members discussed linking modernization support to defined security and resilience requirements. In the energy context, the proposal was framed as support for broader infrastructure modernization that is available when the modernization is conducted within an agreed secure-by-design and resilient-by-design construct. The presenter’s rationale was that </w:t>
      </w:r>
      <w:proofErr w:type="gramStart"/>
      <w:r>
        <w:t>modernization</w:t>
      </w:r>
      <w:proofErr w:type="gramEnd"/>
      <w:r>
        <w:t xml:space="preserve"> and security should be addressed together rather than funded on separate tracks.</w:t>
      </w:r>
    </w:p>
    <w:p w:rsidR="009C473D" w:rsidRDefault="00000000" w14:paraId="5384ABC5" w14:textId="77777777">
      <w:pPr>
        <w:keepNext/>
        <w:spacing w:before="160" w:after="60"/>
      </w:pPr>
      <w:r>
        <w:rPr>
          <w:b/>
          <w:i/>
          <w:color w:val="1F3352"/>
          <w:sz w:val="23"/>
        </w:rPr>
        <w:t>Harmonization and measurable outcomes</w:t>
      </w:r>
    </w:p>
    <w:p w:rsidR="009C473D" w:rsidRDefault="00000000" w14:paraId="23BE9662" w14:textId="77777777">
      <w:pPr>
        <w:spacing w:after="160" w:line="276" w:lineRule="auto"/>
        <w:jc w:val="both"/>
      </w:pPr>
      <w:r>
        <w:t>The presenter noted that global companies face different regulatory expectations across jurisdictions. The source draft reflects support for internationally referenceable standards and greater alignment around common outcomes. It also reflects a preference for defined metrics, including resilience, containment, validation, and maturity measures, so that government and industry can determine whether a policy or assurance mechanism is improving security.</w:t>
      </w:r>
    </w:p>
    <w:p w:rsidR="009C473D" w:rsidRDefault="00000000" w14:paraId="619C0411" w14:textId="77777777">
      <w:pPr>
        <w:keepNext/>
        <w:spacing w:before="320" w:after="160" w:line="252" w:lineRule="auto"/>
      </w:pPr>
      <w:r>
        <w:rPr>
          <w:b/>
          <w:color w:val="1F3352"/>
          <w:sz w:val="26"/>
        </w:rPr>
        <w:lastRenderedPageBreak/>
        <w:t>Question 3: What policy initiatives are needed for specific industry sectors?</w:t>
      </w:r>
    </w:p>
    <w:p w:rsidR="009C473D" w:rsidRDefault="00000000" w14:paraId="3954F18B" w14:textId="77777777">
      <w:pPr>
        <w:keepNext/>
        <w:spacing w:before="160" w:after="60"/>
      </w:pPr>
      <w:r>
        <w:rPr>
          <w:b/>
          <w:i/>
          <w:color w:val="1F3352"/>
          <w:sz w:val="23"/>
        </w:rPr>
        <w:t>OT containment capability</w:t>
      </w:r>
    </w:p>
    <w:p w:rsidR="009C473D" w:rsidRDefault="00000000" w14:paraId="0AC33485" w14:textId="77777777">
      <w:pPr>
        <w:spacing w:after="160" w:line="276" w:lineRule="auto"/>
        <w:jc w:val="both"/>
      </w:pPr>
      <w:r>
        <w:t>The energy-specific priority identified in the draft is the development, testing, and measurement of more precise containment within operational networks. The goal described by the presenter is to isolate compromised components without unnecessarily shutting down a full site or interrupting energy delivery.</w:t>
      </w:r>
    </w:p>
    <w:p w:rsidR="009C473D" w:rsidRDefault="00000000" w14:paraId="7DC28FAE" w14:textId="77777777">
      <w:pPr>
        <w:keepNext/>
        <w:spacing w:before="160" w:after="60"/>
      </w:pPr>
      <w:r>
        <w:rPr>
          <w:b/>
          <w:i/>
          <w:color w:val="1F3352"/>
          <w:sz w:val="23"/>
        </w:rPr>
        <w:t>AI assurance for industrial products and components</w:t>
      </w:r>
    </w:p>
    <w:p w:rsidR="009C473D" w:rsidRDefault="00000000" w14:paraId="2C0EFD59" w14:textId="77777777">
      <w:pPr>
        <w:spacing w:after="160" w:line="276" w:lineRule="auto"/>
        <w:jc w:val="both"/>
      </w:pPr>
      <w:r>
        <w:t>The presenter identified validation within the secure development lifecycle, adversarial testing, model-drift monitoring, and documentation of AI components as relevant controls for industrial products. The draft also reflects the use of digital-twin or comparable test environments before AI-enabled systems are placed into production.</w:t>
      </w:r>
    </w:p>
    <w:p w:rsidR="009C473D" w:rsidRDefault="00000000" w14:paraId="561A11FA" w14:textId="77777777">
      <w:pPr>
        <w:keepNext/>
        <w:spacing w:before="160" w:after="60"/>
      </w:pPr>
      <w:r>
        <w:rPr>
          <w:b/>
          <w:i/>
          <w:color w:val="1F3352"/>
          <w:sz w:val="23"/>
        </w:rPr>
        <w:t>Supply-chain disclosure and validation</w:t>
      </w:r>
    </w:p>
    <w:p w:rsidR="009C473D" w:rsidRDefault="00000000" w14:paraId="41308B12" w14:textId="77777777">
      <w:pPr>
        <w:spacing w:after="160" w:line="276" w:lineRule="auto"/>
        <w:jc w:val="both"/>
      </w:pPr>
      <w:r>
        <w:t>The presentation identified AI-use disclosure by vendors, AI-related procurement clauses, third-party maturity assessments, and component validation before integration as sector-relevant measures. These proposals respond to the scale and diversity of the industrial supply chain and to customer demands for greater visibility into the use of AI in products and services.</w:t>
      </w:r>
    </w:p>
    <w:p w:rsidR="009C473D" w:rsidRDefault="00000000" w14:paraId="7E5416EA" w14:textId="77777777">
      <w:pPr>
        <w:keepNext/>
        <w:spacing w:before="160" w:after="60"/>
      </w:pPr>
      <w:r>
        <w:rPr>
          <w:b/>
          <w:i/>
          <w:color w:val="1F3352"/>
          <w:sz w:val="23"/>
        </w:rPr>
        <w:t>Support for medium-sized utilities and suppliers</w:t>
      </w:r>
    </w:p>
    <w:p w:rsidR="009C473D" w:rsidRDefault="00000000" w14:paraId="7B0005FE" w14:textId="77777777">
      <w:pPr>
        <w:spacing w:after="160" w:line="276" w:lineRule="auto"/>
        <w:jc w:val="both"/>
      </w:pPr>
      <w:r>
        <w:t>The board discussion recognized that smaller and medium-sized organizations may not be able to afford continuous AI-assisted testing or specialized security capabilities. The source draft attributes to board members discussion of shared or government-supported capabilities designed for this part of the sector.</w:t>
      </w:r>
    </w:p>
    <w:p w:rsidR="009C473D" w:rsidRDefault="00000000" w14:paraId="4AF2CC32" w14:textId="77777777">
      <w:pPr>
        <w:keepNext/>
        <w:spacing w:before="160" w:after="60"/>
      </w:pPr>
      <w:r>
        <w:rPr>
          <w:b/>
          <w:i/>
          <w:color w:val="1F3352"/>
          <w:sz w:val="23"/>
        </w:rPr>
        <w:t>Security requirements attached to grid and industrial modernization</w:t>
      </w:r>
    </w:p>
    <w:p w:rsidR="009C473D" w:rsidRDefault="00000000" w14:paraId="5F907BCB" w14:textId="77777777">
      <w:pPr>
        <w:spacing w:after="160" w:line="276" w:lineRule="auto"/>
        <w:jc w:val="both"/>
      </w:pPr>
      <w:r>
        <w:t>The presenter supported integrating cybersecurity and resilience requirements into programs that support grid, plant, and equipment modernization. This was presented as an energy-specific application of the broader incentive model discussed by the board.</w:t>
      </w:r>
    </w:p>
    <w:p w:rsidR="009C473D" w:rsidRDefault="00000000" w14:paraId="44EA0E96" w14:textId="77777777">
      <w:pPr>
        <w:keepNext/>
        <w:spacing w:before="320" w:after="160" w:line="252" w:lineRule="auto"/>
      </w:pPr>
      <w:r>
        <w:rPr>
          <w:b/>
          <w:color w:val="1F3352"/>
          <w:sz w:val="26"/>
        </w:rPr>
        <w:t>Question 4: How can industry and government best assure effective cybersecurity governance in the AI era?</w:t>
      </w:r>
    </w:p>
    <w:p w:rsidR="009C473D" w:rsidRDefault="00000000" w14:paraId="623E6349" w14:textId="77777777">
      <w:pPr>
        <w:keepNext/>
        <w:spacing w:before="160" w:after="60"/>
      </w:pPr>
      <w:r>
        <w:rPr>
          <w:b/>
          <w:i/>
          <w:color w:val="1F3352"/>
          <w:sz w:val="23"/>
        </w:rPr>
        <w:t>Board oversight based on evidence</w:t>
      </w:r>
    </w:p>
    <w:p w:rsidR="009C473D" w:rsidRDefault="00000000" w14:paraId="0E73DCB6" w14:textId="77777777">
      <w:pPr>
        <w:spacing w:after="160" w:line="276" w:lineRule="auto"/>
        <w:jc w:val="both"/>
      </w:pPr>
      <w:r>
        <w:t>The presenter proposed that boards request evidence that AI risk is being managed rather than relying on statements of intent. Examples identified in the presentation include an inventory of AI systems with accountable owners and risk classifications; validation and adversarial-testing reports; AI-use and data-protection metrics; vendor assessments and contract provisions; incident-response plans and operational exercises; and regular reporting on risk, maturity, and incidents.</w:t>
      </w:r>
    </w:p>
    <w:p w:rsidR="009C473D" w:rsidRDefault="00000000" w14:paraId="0DE6E8E5" w14:textId="77777777">
      <w:pPr>
        <w:keepNext/>
        <w:spacing w:before="160" w:after="60"/>
      </w:pPr>
      <w:r>
        <w:rPr>
          <w:b/>
          <w:i/>
          <w:color w:val="1F3352"/>
          <w:sz w:val="23"/>
        </w:rPr>
        <w:t>Controls across design, build, and run</w:t>
      </w:r>
    </w:p>
    <w:p w:rsidR="009C473D" w:rsidRDefault="00000000" w14:paraId="6E814433" w14:textId="77777777">
      <w:pPr>
        <w:spacing w:after="160" w:line="276" w:lineRule="auto"/>
        <w:jc w:val="both"/>
      </w:pPr>
      <w:r>
        <w:t xml:space="preserve">The governance model described by the presenter follows the industrial lifecycle. In product engineering, controls include model validation and secure-development review. In manufacturing and OT, controls include separation from industrial control systems, monitoring, and defined human </w:t>
      </w:r>
      <w:r>
        <w:lastRenderedPageBreak/>
        <w:t>authority. In the supply chain, controls include disclosure, assessment, and contractual requirements. In operations, controls include audit trails, incident protocols, and thresholds for human intervention.</w:t>
      </w:r>
    </w:p>
    <w:p w:rsidR="009C473D" w:rsidRDefault="00000000" w14:paraId="70223C67" w14:textId="77777777">
      <w:pPr>
        <w:keepNext/>
        <w:spacing w:before="160" w:after="60"/>
      </w:pPr>
      <w:r>
        <w:rPr>
          <w:b/>
          <w:i/>
          <w:color w:val="1F3352"/>
          <w:sz w:val="23"/>
        </w:rPr>
        <w:t>Cross-functional accountability</w:t>
      </w:r>
    </w:p>
    <w:p w:rsidR="009C473D" w:rsidRDefault="00000000" w14:paraId="6C744090" w14:textId="77777777">
      <w:pPr>
        <w:spacing w:after="160" w:line="276" w:lineRule="auto"/>
        <w:jc w:val="both"/>
      </w:pPr>
      <w:r>
        <w:t>The presentation emphasized that AI risk in an industrial company cannot be owned by the cybersecurity function alone. Engineering, product security, procurement, legal, enterprise risk, operations, and board leadership all have responsibilities because AI is embedded in products, plants, supplier relationships, and customer services.</w:t>
      </w:r>
    </w:p>
    <w:p w:rsidR="009C473D" w:rsidRDefault="00000000" w14:paraId="42DDCBF9" w14:textId="77777777">
      <w:pPr>
        <w:keepNext/>
        <w:spacing w:before="160" w:after="60"/>
      </w:pPr>
      <w:r>
        <w:rPr>
          <w:b/>
          <w:i/>
          <w:color w:val="1F3352"/>
          <w:sz w:val="23"/>
        </w:rPr>
        <w:t>Continuous review and measurable resilience</w:t>
      </w:r>
    </w:p>
    <w:p w:rsidR="009C473D" w:rsidRDefault="00000000" w14:paraId="51E6EC71" w14:textId="77777777">
      <w:pPr>
        <w:spacing w:after="160" w:line="276" w:lineRule="auto"/>
        <w:jc w:val="both"/>
      </w:pPr>
      <w:r>
        <w:t>The presenter’s governance approach includes ongoing testing, monitoring for model drift, exercises, and metrics tied to operational resilience. The draft reflects a preference for measurable evidence such as containment capability, validated-supplier coverage, monitoring results, and incident performance.</w:t>
      </w:r>
    </w:p>
    <w:sectPr w:rsidR="009C473D">
      <w:footerReference w:type="default" r:id="rId7"/>
      <w:pgSz w:w="12240" w:h="15840"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A16BE2" w:rsidRDefault="00A16BE2" w14:paraId="0F695C1B" w14:textId="77777777">
      <w:r>
        <w:separator/>
      </w:r>
    </w:p>
  </w:endnote>
  <w:endnote w:type="continuationSeparator" w:id="0">
    <w:p w:rsidR="00A16BE2" w:rsidRDefault="00A16BE2" w14:paraId="72B3A6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C473D" w:rsidRDefault="00000000" w14:paraId="29C9B5B4" w14:textId="77777777">
    <w:pPr>
      <w:jc w:val="center"/>
    </w:pPr>
    <w:r>
      <w:rPr>
        <w:color w:val="666666"/>
        <w:sz w:val="18"/>
        <w:szCs w:val="18"/>
      </w:rPr>
      <w:t xml:space="preserve">ISA Sector Analysis — Energy &amp; </w:t>
    </w:r>
    <w:proofErr w:type="gramStart"/>
    <w:r>
      <w:rPr>
        <w:color w:val="666666"/>
        <w:sz w:val="18"/>
        <w:szCs w:val="18"/>
      </w:rPr>
      <w:t>Industrial  ·</w:t>
    </w:r>
    <w:proofErr w:type="gramEnd"/>
    <w:r>
      <w:rPr>
        <w:color w:val="666666"/>
        <w:sz w:val="18"/>
        <w:szCs w:val="18"/>
      </w:rPr>
      <w:t xml:space="preserve">  </w:t>
    </w:r>
    <w:r>
      <w:rPr>
        <w:color w:val="666666"/>
        <w:sz w:val="18"/>
        <w:szCs w:val="18"/>
      </w:rPr>
      <w:fldChar w:fldCharType="begin"/>
    </w:r>
    <w:r>
      <w:rPr>
        <w:color w:val="666666"/>
        <w:sz w:val="18"/>
        <w:szCs w:val="18"/>
      </w:rPr>
      <w:instrText>PAGE</w:instrText>
    </w:r>
    <w:r>
      <w:rPr>
        <w:color w:val="666666"/>
        <w:sz w:val="18"/>
        <w:szCs w:val="18"/>
      </w:rPr>
      <w:fldChar w:fldCharType="separate"/>
    </w:r>
    <w:r w:rsidR="004644B3">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A16BE2" w:rsidRDefault="00A16BE2" w14:paraId="174294E5" w14:textId="77777777">
      <w:r>
        <w:separator/>
      </w:r>
    </w:p>
  </w:footnote>
  <w:footnote w:type="continuationSeparator" w:id="0">
    <w:p w:rsidR="00A16BE2" w:rsidRDefault="00A16BE2" w14:paraId="4C34DB9A" w14:textId="77777777">
      <w:r>
        <w:continuationSeparator/>
      </w:r>
    </w:p>
  </w:footnote>
</w:footnotes>
</file>

<file path=word/intelligence2.xml><?xml version="1.0" encoding="utf-8"?>
<int2:intelligence xmlns:int2="http://schemas.microsoft.com/office/intelligence/2020/intelligence">
  <int2:observations>
    <int2:textHash int2:hashCode="OQnDlh0QnF6RuI" int2:id="mN7JHQ7S">
      <int2:state int2:type="spell" int2:value="Rejected"/>
    </int2:textHash>
    <int2:bookmark int2:bookmarkName="_Int_kK7kCae7" int2:invalidationBookmarkName="" int2:hashCode="HPDXrqbT50skoB" int2:id="7M5uuQ8m">
      <int2:state int2:type="gram" int2:value="Rejected"/>
    </int2:bookmark>
    <int2:bookmark int2:bookmarkName="_Int_y3kGFKet" int2:invalidationBookmarkName="" int2:hashCode="P2YFKhB+r5uufK" int2:id="1RwSsDyE">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E5D2627"/>
    <w:multiLevelType w:val="hybridMultilevel"/>
    <w:tmpl w:val="E22C5D2C"/>
    <w:lvl w:ilvl="0" w:tplc="C7967A98">
      <w:start w:val="1"/>
      <w:numFmt w:val="bullet"/>
      <w:lvlText w:val="●"/>
      <w:lvlJc w:val="left"/>
      <w:pPr>
        <w:ind w:left="720" w:hanging="360"/>
      </w:pPr>
    </w:lvl>
    <w:lvl w:ilvl="1" w:tplc="B148871E">
      <w:start w:val="1"/>
      <w:numFmt w:val="bullet"/>
      <w:lvlText w:val="○"/>
      <w:lvlJc w:val="left"/>
      <w:pPr>
        <w:ind w:left="1440" w:hanging="360"/>
      </w:pPr>
    </w:lvl>
    <w:lvl w:ilvl="2" w:tplc="2430A2DE">
      <w:start w:val="1"/>
      <w:numFmt w:val="bullet"/>
      <w:lvlText w:val="■"/>
      <w:lvlJc w:val="left"/>
      <w:pPr>
        <w:ind w:left="2160" w:hanging="360"/>
      </w:pPr>
    </w:lvl>
    <w:lvl w:ilvl="3" w:tplc="CCBE0E7E">
      <w:start w:val="1"/>
      <w:numFmt w:val="bullet"/>
      <w:lvlText w:val="●"/>
      <w:lvlJc w:val="left"/>
      <w:pPr>
        <w:ind w:left="2880" w:hanging="360"/>
      </w:pPr>
    </w:lvl>
    <w:lvl w:ilvl="4" w:tplc="43C2FE8A">
      <w:start w:val="1"/>
      <w:numFmt w:val="bullet"/>
      <w:lvlText w:val="○"/>
      <w:lvlJc w:val="left"/>
      <w:pPr>
        <w:ind w:left="3600" w:hanging="360"/>
      </w:pPr>
    </w:lvl>
    <w:lvl w:ilvl="5" w:tplc="9A867574">
      <w:start w:val="1"/>
      <w:numFmt w:val="bullet"/>
      <w:lvlText w:val="■"/>
      <w:lvlJc w:val="left"/>
      <w:pPr>
        <w:ind w:left="4320" w:hanging="360"/>
      </w:pPr>
    </w:lvl>
    <w:lvl w:ilvl="6" w:tplc="5B089F58">
      <w:start w:val="1"/>
      <w:numFmt w:val="bullet"/>
      <w:lvlText w:val="●"/>
      <w:lvlJc w:val="left"/>
      <w:pPr>
        <w:ind w:left="5040" w:hanging="360"/>
      </w:pPr>
    </w:lvl>
    <w:lvl w:ilvl="7" w:tplc="9BDCD4CA">
      <w:start w:val="1"/>
      <w:numFmt w:val="bullet"/>
      <w:lvlText w:val="●"/>
      <w:lvlJc w:val="left"/>
      <w:pPr>
        <w:ind w:left="5760" w:hanging="360"/>
      </w:pPr>
    </w:lvl>
    <w:lvl w:ilvl="8" w:tplc="030052B2">
      <w:start w:val="1"/>
      <w:numFmt w:val="bullet"/>
      <w:lvlText w:val="●"/>
      <w:lvlJc w:val="left"/>
      <w:pPr>
        <w:ind w:left="6480" w:hanging="360"/>
      </w:pPr>
    </w:lvl>
  </w:abstractNum>
  <w:num w:numId="1" w16cid:durableId="181483114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hideSpellingErrors/>
  <w:hideGrammaticalError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73D"/>
    <w:rsid w:val="003A353C"/>
    <w:rsid w:val="003B5F0C"/>
    <w:rsid w:val="003E6F4C"/>
    <w:rsid w:val="004644B3"/>
    <w:rsid w:val="009C473D"/>
    <w:rsid w:val="00A16BE2"/>
    <w:rsid w:val="00AF1AEE"/>
    <w:rsid w:val="00D0484A"/>
    <w:rsid w:val="00E6520D"/>
    <w:rsid w:val="00F92BA1"/>
    <w:rsid w:val="00F92D6B"/>
    <w:rsid w:val="38AAE9D7"/>
    <w:rsid w:val="56D518B1"/>
    <w:rsid w:val="728A6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043FF"/>
  <w15:docId w15:val="{01C5D55A-CA74-4BE4-88BB-0721D5E8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hAnsi="Cambria" w:eastAsia="Cambria" w:cs="Cambr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microsoft.com/office/2020/10/relationships/intelligence" Target="intelligence2.xml" Id="R636f26785fe441a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7298E6E9BC34E980395B583061CFB" ma:contentTypeVersion="18" ma:contentTypeDescription="Create a new document." ma:contentTypeScope="" ma:versionID="afa86aa6098c1bf0af2f331ce85d2649">
  <xsd:schema xmlns:xsd="http://www.w3.org/2001/XMLSchema" xmlns:xs="http://www.w3.org/2001/XMLSchema" xmlns:p="http://schemas.microsoft.com/office/2006/metadata/properties" xmlns:ns2="6354fb6d-b975-4812-b235-4cd3ecf35ee9" xmlns:ns3="2d78a3be-2cd5-4ec9-a46a-bba9b8acb549" targetNamespace="http://schemas.microsoft.com/office/2006/metadata/properties" ma:root="true" ma:fieldsID="447961d4b3b873c078f693699e736c0c" ns2:_="" ns3:_="">
    <xsd:import namespace="6354fb6d-b975-4812-b235-4cd3ecf35ee9"/>
    <xsd:import namespace="2d78a3be-2cd5-4ec9-a46a-bba9b8acb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4fb6d-b975-4812-b235-4cd3ecf35e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3880ad-313f-46c0-8142-ae925325c3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78a3be-2cd5-4ec9-a46a-bba9b8acb5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550ad6-c585-48cf-918b-c48e8d51fbc6}" ma:internalName="TaxCatchAll" ma:showField="CatchAllData" ma:web="2d78a3be-2cd5-4ec9-a46a-bba9b8acb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54fb6d-b975-4812-b235-4cd3ecf35ee9">
      <Terms xmlns="http://schemas.microsoft.com/office/infopath/2007/PartnerControls"/>
    </lcf76f155ced4ddcb4097134ff3c332f>
    <TaxCatchAll xmlns="2d78a3be-2cd5-4ec9-a46a-bba9b8acb549" xsi:nil="true"/>
  </documentManagement>
</p:properties>
</file>

<file path=customXml/itemProps1.xml><?xml version="1.0" encoding="utf-8"?>
<ds:datastoreItem xmlns:ds="http://schemas.openxmlformats.org/officeDocument/2006/customXml" ds:itemID="{30687C5C-474F-44C3-95C4-6B379D040751}"/>
</file>

<file path=customXml/itemProps2.xml><?xml version="1.0" encoding="utf-8"?>
<ds:datastoreItem xmlns:ds="http://schemas.openxmlformats.org/officeDocument/2006/customXml" ds:itemID="{ED93CACB-2AE8-4E58-A2DB-EFB03C1CF307}"/>
</file>

<file path=customXml/itemProps3.xml><?xml version="1.0" encoding="utf-8"?>
<ds:datastoreItem xmlns:ds="http://schemas.openxmlformats.org/officeDocument/2006/customXml" ds:itemID="{074A35E1-FC7B-4EDE-8D25-6BA084FAE2B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Un-named</dc:creator>
  <dc:description>Revised to organize the summary around the four Board questions and avoid adding new policy positions.</dc:description>
  <lastModifiedBy>Guest User</lastModifiedBy>
  <revision>4</revision>
  <dcterms:created xsi:type="dcterms:W3CDTF">2026-07-17T16:41:00.0000000Z</dcterms:created>
  <dcterms:modified xsi:type="dcterms:W3CDTF">2026-09-01T20:00:59.5362531Z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a86ab6ff-eac1-4e49-967f-e5cab57cf336</vt:lpwstr>
  </property>
  <property fmtid="{D5CDD505-2E9C-101B-9397-08002B2CF9AE}" pid="3" name="ContentTypeId">
    <vt:lpwstr>0x01010002B7298E6E9BC34E980395B583061CFB</vt:lpwstr>
  </property>
  <property fmtid="{D5CDD505-2E9C-101B-9397-08002B2CF9AE}" pid="4" name="Order">
    <vt:r8>43900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MediaServiceImageTags">
    <vt:lpwstr/>
  </property>
</Properties>
</file>