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9E5290" w:rsidRDefault="00000000" w14:paraId="68949A4D" w14:textId="77777777">
      <w:pPr>
        <w:spacing w:after="60"/>
      </w:pPr>
      <w:r>
        <w:rPr>
          <w:b/>
          <w:bCs/>
          <w:caps/>
          <w:color w:val="444444"/>
          <w:sz w:val="20"/>
          <w:szCs w:val="20"/>
        </w:rPr>
        <w:t>INTERNET SECURITY ALLIANCE</w:t>
      </w:r>
    </w:p>
    <w:p w:rsidR="009E5290" w:rsidP="0ADCAF86" w:rsidRDefault="00000000" w14:paraId="27F075BC" w14:textId="77777777">
      <w:pPr>
        <w:pBdr>
          <w:bottom w:val="single" w:color="888888" w:sz="6" w:space="8"/>
        </w:pBdr>
        <w:spacing w:after="360"/>
      </w:pPr>
      <w:r w:rsidRPr="0ADCAF86" w:rsidR="60836272">
        <w:rPr>
          <w:color w:val="444444"/>
          <w:sz w:val="20"/>
          <w:szCs w:val="20"/>
        </w:rPr>
        <w:t xml:space="preserve">AI Cybersecurity Sector Analysis </w:t>
      </w:r>
      <w:bookmarkStart w:name="_Int_lCYwZOH2" w:id="812093886"/>
      <w:r w:rsidRPr="0ADCAF86" w:rsidR="60836272">
        <w:rPr>
          <w:color w:val="444444"/>
          <w:sz w:val="20"/>
          <w:szCs w:val="20"/>
        </w:rPr>
        <w:t>Series  |</w:t>
      </w:r>
      <w:bookmarkEnd w:id="812093886"/>
      <w:r w:rsidRPr="0ADCAF86" w:rsidR="60836272">
        <w:rPr>
          <w:color w:val="444444"/>
          <w:sz w:val="20"/>
          <w:szCs w:val="20"/>
        </w:rPr>
        <w:t xml:space="preserve">  July 2026 Board Meeting</w:t>
      </w:r>
    </w:p>
    <w:p w:rsidR="009E5290" w:rsidRDefault="00000000" w14:paraId="4EE16724" w14:textId="77777777">
      <w:pPr>
        <w:spacing w:after="120" w:line="300" w:lineRule="auto"/>
      </w:pPr>
      <w:r>
        <w:rPr>
          <w:b/>
          <w:bCs/>
          <w:sz w:val="40"/>
          <w:szCs w:val="40"/>
        </w:rPr>
        <w:t>AI and Cybersecurity in the IT Infrastructure Sector</w:t>
      </w:r>
    </w:p>
    <w:p w:rsidR="009E5290" w:rsidRDefault="00000000" w14:paraId="383EB29C" w14:textId="77777777">
      <w:pPr>
        <w:spacing w:after="240" w:line="280" w:lineRule="auto"/>
      </w:pPr>
      <w:r>
        <w:rPr>
          <w:i/>
          <w:iCs/>
          <w:color w:val="333333"/>
          <w:sz w:val="26"/>
          <w:szCs w:val="26"/>
        </w:rPr>
        <w:t>Governing Autonomous Digital Actors: A Services Operator's Field Report on Cognitive Middleware, Continuous Assurance, and Digital Trust</w:t>
      </w:r>
    </w:p>
    <w:p w:rsidR="009E5290" w:rsidRDefault="00000000" w14:paraId="5856DF0A" w14:textId="77777777">
      <w:pPr>
        <w:spacing w:after="40"/>
      </w:pPr>
      <w:r>
        <w:rPr>
          <w:color w:val="333333"/>
          <w:sz w:val="21"/>
          <w:szCs w:val="21"/>
        </w:rPr>
        <w:t>Based on the sector presentation by Kris Lovejoy, Global Head of Strategy, Kyndryl (formerly Global Practice Leader, Security &amp; Resiliency)</w:t>
      </w:r>
    </w:p>
    <w:p w:rsidR="009E5290" w:rsidRDefault="00000000" w14:paraId="17B770B5" w14:textId="77777777">
      <w:pPr>
        <w:pBdr>
          <w:bottom w:val="single" w:color="888888" w:sz="6" w:space="8"/>
        </w:pBdr>
        <w:spacing w:after="240"/>
      </w:pPr>
      <w:r>
        <w:rPr>
          <w:i/>
          <w:color w:val="666666"/>
          <w:sz w:val="19"/>
        </w:rPr>
        <w:t>Revised from the sector presentation and board-member discussion reflected in the source draft</w:t>
      </w:r>
    </w:p>
    <w:p w:rsidR="002F3B07" w:rsidP="002F3B07" w:rsidRDefault="002F3B07" w14:paraId="424FC1AF" w14:textId="7817D570">
      <w:pPr>
        <w:pStyle w:val="Heading1"/>
        <w:spacing w:before="300" w:after="140"/>
      </w:pPr>
      <w:r>
        <w:rPr>
          <w:b/>
          <w:bCs/>
          <w:color w:val="1F3352"/>
          <w:sz w:val="27"/>
          <w:szCs w:val="27"/>
        </w:rPr>
        <w:t>B</w:t>
      </w:r>
      <w:r>
        <w:rPr>
          <w:b/>
          <w:bCs/>
          <w:color w:val="1F3352"/>
          <w:sz w:val="27"/>
          <w:szCs w:val="27"/>
        </w:rPr>
        <w:t>ACKGROUND</w:t>
      </w:r>
    </w:p>
    <w:p w:rsidR="002F3B07" w:rsidP="002F3B07" w:rsidRDefault="002F3B07" w14:paraId="08C63570" w14:textId="1D7DAA39">
      <w:pPr>
        <w:spacing w:after="160" w:line="276" w:lineRule="auto"/>
        <w:jc w:val="both"/>
      </w:pPr>
      <w:r>
        <w:t>The IT infrastructure sector sees AI risk through three lenses at once: how we use AI as a corporation, how we use AI to deliver services, and how we build and deploy AI for customers in every regulated industry. AI introduces autonomous digital actors into critical infrastructure, while most cybersecurity policies were written for human users and traditional software.</w:t>
      </w:r>
    </w:p>
    <w:p w:rsidR="002F3B07" w:rsidP="002F3B07" w:rsidRDefault="002F3B07" w14:paraId="36FCBB84" w14:textId="25B04FC8">
      <w:pPr>
        <w:spacing w:after="160" w:line="276" w:lineRule="auto"/>
        <w:jc w:val="both"/>
      </w:pPr>
      <w:r>
        <w:t>There is no end-to-end platform today for governing agents across hybrid environments — we lay deterministic policy-as-code over probabilistic agents, and it's limited; agents are escaping their parameters; building the audit records needed to actually see agent behavior end-to-end takes serious effort and money; and accountability models are weak. And the most contrarian finding</w:t>
      </w:r>
      <w:r>
        <w:t xml:space="preserve"> is that </w:t>
      </w:r>
      <w:r>
        <w:t xml:space="preserve">AI does not behave like humans. If you build an AI-optimized process and stick humans in the middle of it as checkpoints, you are very, very wrong about what you'll get. You </w:t>
      </w:r>
      <w:proofErr w:type="gramStart"/>
      <w:r>
        <w:t>have to</w:t>
      </w:r>
      <w:proofErr w:type="gramEnd"/>
      <w:r>
        <w:t xml:space="preserve"> design the process AI-first and place humans deliberately as an enforcement function — an incremental add-on in the architecture, not an assumed safeguard threaded through it. Wrongly placed, the human checkpoint isn't just ineffective. It's a real problem.</w:t>
      </w:r>
    </w:p>
    <w:p w:rsidR="002F3B07" w:rsidP="002F3B07" w:rsidRDefault="002F3B07" w14:paraId="18B288C7" w14:textId="037A6022">
      <w:pPr>
        <w:spacing w:after="160" w:line="276" w:lineRule="auto"/>
        <w:jc w:val="both"/>
      </w:pPr>
      <w:r>
        <w:t xml:space="preserve">There's also a category question this sector </w:t>
      </w:r>
      <w:r>
        <w:t>needs to answer:</w:t>
      </w:r>
      <w:r>
        <w:t xml:space="preserve"> what is AI, organizationally? It's not digital labor and it's not conventional IT. Working term: cognitive middleware — something in between. The answer determines which management disciplines, standards, and accountability models apply, and right now nobody has one. It's </w:t>
      </w:r>
      <w:proofErr w:type="gramStart"/>
      <w:r>
        <w:t>telling</w:t>
      </w:r>
      <w:proofErr w:type="gramEnd"/>
      <w:r>
        <w:t xml:space="preserve"> that we had to rewrite ITIL — the canonical IT service management discipline — for agentic AI, because no standard out there covers auditability, non-human identity, or agent cataloging. When the operating layer </w:t>
      </w:r>
      <w:proofErr w:type="gramStart"/>
      <w:r>
        <w:t>has to</w:t>
      </w:r>
      <w:proofErr w:type="gramEnd"/>
      <w:r>
        <w:t xml:space="preserve"> reinvent service management from scratch, that's the governance vacuum, measured.</w:t>
      </w:r>
    </w:p>
    <w:p w:rsidR="002F3B07" w:rsidP="002F3B07" w:rsidRDefault="002F3B07" w14:paraId="1435FB42" w14:textId="77432549">
      <w:pPr>
        <w:spacing w:after="160" w:line="276" w:lineRule="auto"/>
        <w:jc w:val="both"/>
      </w:pPr>
      <w:r>
        <w:t xml:space="preserve">The policy architecture proposed is a risk-based, tiered governance model instead of prescriptive regulation; a National AI Security Baseline built on NIST AI RMF but honest that no current standard is fit for purpose; mandatory AI asset inventories and agent registries — if you can't see it, you can't secure it; certification and validation before deployment into critical infrastructure, made real through digital-twin sandbox testing and an agentic maturity execution index; shared public-private </w:t>
      </w:r>
      <w:r>
        <w:lastRenderedPageBreak/>
        <w:t>security infrastructure across sectors, companies, and countries; and incentives for security-by-design that address the fear-of-missing-out economics driving insecure adoption. Governance itself moves from periodic compliance to continuous assurance, across the full lifecycle from registration to retirement, under a shared responsibility model — with digital trust (security, transparency, auditability, accountability, resilience, sovereignty — plus good economics) as the operating principle.</w:t>
      </w:r>
    </w:p>
    <w:p w:rsidR="002F3B07" w:rsidP="002F3B07" w:rsidRDefault="002F3B07" w14:paraId="75F4D8F5" w14:textId="77777777">
      <w:pPr>
        <w:pStyle w:val="Heading1"/>
        <w:spacing w:before="300" w:after="140"/>
      </w:pPr>
      <w:r>
        <w:rPr>
          <w:b/>
          <w:bCs/>
          <w:color w:val="1F3352"/>
          <w:sz w:val="27"/>
          <w:szCs w:val="27"/>
        </w:rPr>
        <w:t>Where the Sector Stands: Three Lenses, Three Use Cases, One Category Problem</w:t>
      </w:r>
    </w:p>
    <w:p w:rsidR="002F3B07" w:rsidP="002F3B07" w:rsidRDefault="002F3B07" w14:paraId="4D3421DE" w14:textId="5666FB6D">
      <w:pPr>
        <w:spacing w:after="160" w:line="276" w:lineRule="auto"/>
        <w:jc w:val="both"/>
      </w:pPr>
      <w:r>
        <w:t xml:space="preserve">Enterprises need to </w:t>
      </w:r>
      <w:r>
        <w:t xml:space="preserve">operate internationally, they carry heavy compliance loads, and their workloads live or die on uptime, resiliency, and security. That's the definition of critical infrastructure work. </w:t>
      </w:r>
      <w:r>
        <w:t>W</w:t>
      </w:r>
      <w:r>
        <w:t>hat follows is a cross-section of critical infrastructure practice, seen from the layer that operates it.</w:t>
      </w:r>
    </w:p>
    <w:p w:rsidR="002F3B07" w:rsidP="002F3B07" w:rsidRDefault="002F3B07" w14:paraId="64042D05" w14:textId="77777777">
      <w:pPr>
        <w:spacing w:after="160" w:line="276" w:lineRule="auto"/>
        <w:jc w:val="both"/>
      </w:pPr>
      <w:r>
        <w:t xml:space="preserve">From that layer, three AI use cases dominate, with very different risk characteristics. One: generative AI for worker productivity — the most tractable deployment model, though not cheap; the consumption bills are real. Two: AI-generated code — a lot of frontier-model code development happening, at a lot of token cost, with, frankly, real uncertainty about what happens once that code is </w:t>
      </w:r>
      <w:proofErr w:type="gramStart"/>
      <w:r>
        <w:t>actually in</w:t>
      </w:r>
      <w:proofErr w:type="gramEnd"/>
      <w:r>
        <w:t xml:space="preserve"> use. Lots of interesting things happening with the code itself. Three: agentic AI — workflow orchestration and automation, typically semi-autonomous today (we haven't really seen fully autonomous in production yet), and proliferating fast. This report concentrates on the second and third, where the sector's exposure is deepest: AI in the design, build, deploy, and operation of infrastructure itself — not individual-user controls.</w:t>
      </w:r>
    </w:p>
    <w:p w:rsidR="002F3B07" w:rsidP="002F3B07" w:rsidRDefault="002F3B07" w14:paraId="0F3FFDD3" w14:textId="721B569E">
      <w:pPr>
        <w:spacing w:after="160" w:line="276" w:lineRule="auto"/>
        <w:jc w:val="both"/>
      </w:pPr>
      <w:r>
        <w:t>Now the category problem, before the risks. Enterprises manage employees with workforce disciplines and technology with IT service management. Agentic AI fits neither. It acts like labor but scales, fails, and propagates like software; it's provisioned like software but makes decisions like staff. Cognitive middleware is the working term, and it's more than a coinage — it's a claim that a new management discipline is required</w:t>
      </w:r>
      <w:r>
        <w:t xml:space="preserve">. There is a real need </w:t>
      </w:r>
      <w:r>
        <w:t>to convene the definitional work. Is it digital labor? Is it not? We should decide, together, because everything downstream depends on the answer.</w:t>
      </w:r>
    </w:p>
    <w:p w:rsidRPr="00DB6C85" w:rsidR="002F3B07" w:rsidRDefault="00DB6C85" w14:paraId="2E392515" w14:textId="5DAEBA2A">
      <w:pPr>
        <w:keepNext/>
        <w:spacing w:before="320" w:after="160" w:line="252" w:lineRule="auto"/>
        <w:rPr>
          <w:b/>
          <w:bCs/>
          <w:color w:val="1F3352"/>
          <w:sz w:val="24"/>
          <w:szCs w:val="24"/>
        </w:rPr>
      </w:pPr>
      <w:r>
        <w:rPr>
          <w:b/>
          <w:bCs/>
          <w:sz w:val="24"/>
          <w:szCs w:val="24"/>
        </w:rPr>
        <w:t>PUBLIC POLICY QUESTIONS</w:t>
      </w:r>
    </w:p>
    <w:p w:rsidR="009E5290" w:rsidRDefault="00000000" w14:paraId="7D9C2B5A" w14:textId="34474BF1">
      <w:pPr>
        <w:keepNext/>
        <w:spacing w:before="320" w:after="160" w:line="252" w:lineRule="auto"/>
      </w:pPr>
      <w:r>
        <w:rPr>
          <w:b/>
          <w:color w:val="1F3352"/>
          <w:sz w:val="26"/>
        </w:rPr>
        <w:t xml:space="preserve">Question 1: What </w:t>
      </w:r>
      <w:proofErr w:type="gramStart"/>
      <w:r>
        <w:rPr>
          <w:b/>
          <w:color w:val="1F3352"/>
          <w:sz w:val="26"/>
        </w:rPr>
        <w:t>are</w:t>
      </w:r>
      <w:proofErr w:type="gramEnd"/>
      <w:r>
        <w:rPr>
          <w:b/>
          <w:color w:val="1F3352"/>
          <w:sz w:val="26"/>
        </w:rPr>
        <w:t xml:space="preserve"> the cybersecurity operational &amp; policy gaps/challenges that the introduction of AI presents to privately owned critical infrastructure?</w:t>
      </w:r>
    </w:p>
    <w:p w:rsidR="009E5290" w:rsidRDefault="00000000" w14:paraId="6B3828C8" w14:textId="77777777">
      <w:pPr>
        <w:keepNext/>
        <w:spacing w:before="160" w:after="60"/>
      </w:pPr>
      <w:r>
        <w:rPr>
          <w:b/>
          <w:i/>
          <w:color w:val="1F3352"/>
          <w:sz w:val="23"/>
        </w:rPr>
        <w:t>Existing frameworks assume human users and deterministic software</w:t>
      </w:r>
    </w:p>
    <w:p w:rsidR="009E5290" w:rsidRDefault="00000000" w14:paraId="6481820E" w14:textId="77777777">
      <w:pPr>
        <w:spacing w:after="160" w:line="276" w:lineRule="auto"/>
        <w:jc w:val="both"/>
      </w:pPr>
      <w:r>
        <w:t>The presenter described agentic AI as a new class of operational actor that does not fit neatly within workforce-management or traditional IT-service-management models. Agents can make decisions and take actions, but they scale, fail, and propagate like software. The working term used in the presentation was 'cognitive middleware,' reflecting the need for a management discipline that addresses both characteristics.</w:t>
      </w:r>
    </w:p>
    <w:p w:rsidR="009E5290" w:rsidRDefault="00000000" w14:paraId="57674799" w14:textId="77777777">
      <w:pPr>
        <w:keepNext/>
        <w:spacing w:before="160" w:after="60"/>
      </w:pPr>
      <w:r>
        <w:rPr>
          <w:b/>
          <w:i/>
          <w:color w:val="1F3352"/>
          <w:sz w:val="23"/>
        </w:rPr>
        <w:lastRenderedPageBreak/>
        <w:t>No end-to-end governance for agents</w:t>
      </w:r>
    </w:p>
    <w:p w:rsidR="009E5290" w:rsidRDefault="00000000" w14:paraId="3032A3BB" w14:textId="77777777">
      <w:pPr>
        <w:spacing w:after="160" w:line="276" w:lineRule="auto"/>
        <w:jc w:val="both"/>
      </w:pPr>
      <w:r>
        <w:t>From Kyndryl's operating experience, there is no complete platform for governing agents across hybrid environments. Deterministic policy-as-code can be placed over probabilistic systems, but the presenter described that control as limited and reported agents operating outside intended parameters. Full visibility into agent behavior requires extensive audit records and can be costly to establish.</w:t>
      </w:r>
    </w:p>
    <w:p w:rsidR="009E5290" w:rsidRDefault="00000000" w14:paraId="21C00D09" w14:textId="77777777">
      <w:pPr>
        <w:keepNext/>
        <w:spacing w:before="160" w:after="60"/>
      </w:pPr>
      <w:r>
        <w:rPr>
          <w:b/>
          <w:i/>
          <w:color w:val="1F3352"/>
          <w:sz w:val="23"/>
        </w:rPr>
        <w:t>Human-in-the-loop requirements can be poorly designed</w:t>
      </w:r>
    </w:p>
    <w:p w:rsidR="009E5290" w:rsidRDefault="00000000" w14:paraId="5FC0CC6A" w14:textId="77777777">
      <w:pPr>
        <w:spacing w:after="160" w:line="276" w:lineRule="auto"/>
        <w:jc w:val="both"/>
      </w:pPr>
      <w:r>
        <w:t>The presenter cautioned that inserting human checkpoints into an AI-optimized process does not automatically create effective control. AI-first processes should instead include deliberately engineered points of human authority, intervention, and override. The operational gap is not the absence of humans; it is the absence of well-designed authority and accountability within the process.</w:t>
      </w:r>
    </w:p>
    <w:p w:rsidR="009E5290" w:rsidRDefault="00000000" w14:paraId="026ED68D" w14:textId="77777777">
      <w:pPr>
        <w:keepNext/>
        <w:spacing w:before="160" w:after="60"/>
      </w:pPr>
      <w:r>
        <w:rPr>
          <w:b/>
          <w:i/>
          <w:color w:val="1F3352"/>
          <w:sz w:val="23"/>
        </w:rPr>
        <w:t>Shadow AI and missing lifecycle controls</w:t>
      </w:r>
    </w:p>
    <w:p w:rsidR="009E5290" w:rsidRDefault="00000000" w14:paraId="7129A31B" w14:textId="77777777">
      <w:pPr>
        <w:spacing w:after="160" w:line="276" w:lineRule="auto"/>
        <w:jc w:val="both"/>
      </w:pPr>
      <w:r>
        <w:t>AI systems and agents can be introduced through internal development, software products, vendor services, and employee use. Existing policies often do not require consistent inventory, registration, monitoring, or retirement. The presenter identified this lack of visibility as a foundational problem because certification, incident response, access control, and decommissioning depend on knowing which systems and agents exist.</w:t>
      </w:r>
    </w:p>
    <w:p w:rsidR="009E5290" w:rsidRDefault="00000000" w14:paraId="65633261" w14:textId="77777777">
      <w:pPr>
        <w:keepNext/>
        <w:spacing w:before="160" w:after="60"/>
      </w:pPr>
      <w:r>
        <w:rPr>
          <w:b/>
          <w:i/>
          <w:color w:val="1F3352"/>
          <w:sz w:val="23"/>
        </w:rPr>
        <w:t>New attack paths and data-integrity risks</w:t>
      </w:r>
    </w:p>
    <w:p w:rsidR="009E5290" w:rsidRDefault="00000000" w14:paraId="29908F7A" w14:textId="77777777">
      <w:pPr>
        <w:spacing w:after="160" w:line="276" w:lineRule="auto"/>
        <w:jc w:val="both"/>
      </w:pPr>
      <w:r>
        <w:t>The presentation identified prompt injection, memory or corpus poisoning, model manipulation, agent misuse, and autonomous movement through connected systems as emerging attack paths. One operational example involved manipulation of a data corpus used for emergency-response decisions, demonstrating that attacks on AI inputs can redirect physical-world activity. The presenter also described inadvertent agent actions across connected environments.</w:t>
      </w:r>
    </w:p>
    <w:p w:rsidR="009E5290" w:rsidRDefault="00000000" w14:paraId="29DD05CD" w14:textId="77777777">
      <w:pPr>
        <w:keepNext/>
        <w:spacing w:before="160" w:after="60"/>
      </w:pPr>
      <w:r>
        <w:rPr>
          <w:b/>
          <w:i/>
          <w:color w:val="1F3352"/>
          <w:sz w:val="23"/>
        </w:rPr>
        <w:t>Requirements may exceed available technical capability</w:t>
      </w:r>
    </w:p>
    <w:p w:rsidR="009E5290" w:rsidRDefault="00000000" w14:paraId="1F345215" w14:textId="77777777">
      <w:pPr>
        <w:spacing w:after="160" w:line="276" w:lineRule="auto"/>
        <w:jc w:val="both"/>
      </w:pPr>
      <w:r>
        <w:t>The presenter noted that critical third-party providers can face transparency, traceability, and auditability obligations that are ahead of the available technical controls. Point-in-time reconstruction of a model's prior state was identified as a particular unresolved issue for audit, forensics, and liability.</w:t>
      </w:r>
    </w:p>
    <w:p w:rsidR="009E5290" w:rsidRDefault="00000000" w14:paraId="353DA37B" w14:textId="77777777">
      <w:pPr>
        <w:keepNext/>
        <w:spacing w:before="320" w:after="160" w:line="252" w:lineRule="auto"/>
      </w:pPr>
      <w:r>
        <w:rPr>
          <w:b/>
          <w:color w:val="1F3352"/>
          <w:sz w:val="26"/>
        </w:rPr>
        <w:t>Question 2: What policy initiatives are needed to create a cybersecurity model to address the gaps effectively and sustainably for government &amp; industry?</w:t>
      </w:r>
    </w:p>
    <w:p w:rsidR="009E5290" w:rsidRDefault="00000000" w14:paraId="18B573D6" w14:textId="77777777">
      <w:pPr>
        <w:keepNext/>
        <w:spacing w:before="160" w:after="60"/>
      </w:pPr>
      <w:r>
        <w:rPr>
          <w:b/>
          <w:i/>
          <w:color w:val="1F3352"/>
          <w:sz w:val="23"/>
        </w:rPr>
        <w:t>Risk-based and tiered governance</w:t>
      </w:r>
    </w:p>
    <w:p w:rsidR="009E5290" w:rsidRDefault="00000000" w14:paraId="04299D88" w14:textId="77777777">
      <w:pPr>
        <w:spacing w:after="160" w:line="276" w:lineRule="auto"/>
        <w:jc w:val="both"/>
      </w:pPr>
      <w:r>
        <w:t>The presenter proposed a risk-based, tiered model in which requirements scale with the criticality of the AI use case and the organization's maturity. The proposal was intended to avoid uniform prescriptive requirements that do not reflect differences in consequence or capability.</w:t>
      </w:r>
    </w:p>
    <w:p w:rsidR="009E5290" w:rsidRDefault="00000000" w14:paraId="4B8D1424" w14:textId="77777777">
      <w:pPr>
        <w:keepNext/>
        <w:spacing w:before="160" w:after="60"/>
      </w:pPr>
      <w:r>
        <w:rPr>
          <w:b/>
          <w:i/>
          <w:color w:val="1F3352"/>
          <w:sz w:val="23"/>
        </w:rPr>
        <w:t>A common AI security baseline</w:t>
      </w:r>
    </w:p>
    <w:p w:rsidR="009E5290" w:rsidRDefault="00000000" w14:paraId="7E4A8995" w14:textId="77777777">
      <w:pPr>
        <w:spacing w:after="160" w:line="276" w:lineRule="auto"/>
        <w:jc w:val="both"/>
      </w:pPr>
      <w:r>
        <w:t xml:space="preserve">The presentation proposed a baseline covering governance, agent inventory and registration, non-human identity, continuous monitoring, AI risk-management controls, and security testing. The </w:t>
      </w:r>
      <w:r>
        <w:lastRenderedPageBreak/>
        <w:t>presenter suggested building from the NIST AI Risk Management Framework while recognizing that existing standards require further development for agentic operations and service management.</w:t>
      </w:r>
    </w:p>
    <w:p w:rsidR="009E5290" w:rsidRDefault="00000000" w14:paraId="0C8D1789" w14:textId="77777777">
      <w:pPr>
        <w:keepNext/>
        <w:spacing w:before="160" w:after="60"/>
      </w:pPr>
      <w:r>
        <w:rPr>
          <w:b/>
          <w:i/>
          <w:color w:val="1F3352"/>
          <w:sz w:val="23"/>
        </w:rPr>
        <w:t>Required inventories and agent registries</w:t>
      </w:r>
    </w:p>
    <w:p w:rsidR="009E5290" w:rsidRDefault="00000000" w14:paraId="1BCCA6BB" w14:textId="77777777">
      <w:pPr>
        <w:spacing w:after="160" w:line="276" w:lineRule="auto"/>
        <w:jc w:val="both"/>
      </w:pPr>
      <w:r>
        <w:t>The presenter identified an inventory of AI systems and agents in critical environments as a fundamental requirement. Kyndryl's own agent registry was offered as evidence that the practice can be implemented at enterprise scale.</w:t>
      </w:r>
    </w:p>
    <w:p w:rsidR="009E5290" w:rsidRDefault="00000000" w14:paraId="1525241C" w14:textId="77777777">
      <w:pPr>
        <w:keepNext/>
        <w:spacing w:before="160" w:after="60"/>
      </w:pPr>
      <w:r>
        <w:rPr>
          <w:b/>
          <w:i/>
          <w:color w:val="1F3352"/>
          <w:sz w:val="23"/>
        </w:rPr>
        <w:t>Pre-deployment certification and validation</w:t>
      </w:r>
    </w:p>
    <w:p w:rsidR="009E5290" w:rsidRDefault="00000000" w14:paraId="4CE70749" w14:textId="77777777">
      <w:pPr>
        <w:spacing w:after="160" w:line="276" w:lineRule="auto"/>
        <w:jc w:val="both"/>
      </w:pPr>
      <w:r>
        <w:t>The presenter described security, resilience, adversarial, and compliance testing before deployment into critical infrastructure. Kyndryl's operational model uses a degraded digital-twin environment to test candidate agents and produce a scored measure of execution maturity before production use.</w:t>
      </w:r>
    </w:p>
    <w:p w:rsidR="009E5290" w:rsidRDefault="00000000" w14:paraId="560F4F70" w14:textId="77777777">
      <w:pPr>
        <w:keepNext/>
        <w:spacing w:before="160" w:after="60"/>
      </w:pPr>
      <w:r>
        <w:rPr>
          <w:b/>
          <w:i/>
          <w:color w:val="1F3352"/>
          <w:sz w:val="23"/>
        </w:rPr>
        <w:t>Shared public-private security infrastructure</w:t>
      </w:r>
    </w:p>
    <w:p w:rsidR="009E5290" w:rsidRDefault="00000000" w14:paraId="24676650" w14:textId="77777777">
      <w:pPr>
        <w:spacing w:after="160" w:line="276" w:lineRule="auto"/>
        <w:jc w:val="both"/>
      </w:pPr>
      <w:r>
        <w:t>The presentation included shared threat intelligence, vulnerability reporting, common taxonomies, and cross-sector and cross-border collaboration. The stated rationale was that shared infrastructure can lower duplicated cost while improving collective defense.</w:t>
      </w:r>
    </w:p>
    <w:p w:rsidR="009E5290" w:rsidRDefault="00000000" w14:paraId="2DCCD0BF" w14:textId="77777777">
      <w:pPr>
        <w:keepNext/>
        <w:spacing w:before="160" w:after="60"/>
      </w:pPr>
      <w:r>
        <w:rPr>
          <w:b/>
          <w:i/>
          <w:color w:val="1F3352"/>
          <w:sz w:val="23"/>
        </w:rPr>
        <w:t>Incentives for secure-by-design adoption</w:t>
      </w:r>
    </w:p>
    <w:p w:rsidR="009E5290" w:rsidRDefault="00000000" w14:paraId="25710661" w14:textId="77777777">
      <w:pPr>
        <w:spacing w:after="160" w:line="276" w:lineRule="auto"/>
        <w:jc w:val="both"/>
      </w:pPr>
      <w:r>
        <w:t>The presenter linked insecure adoption to competitive pressure and fear of falling behind. The board discussion included tax treatment, credits, and modernization incentives conditioned on security and resilience. The written submission also identified policy-as-code, continuous controls monitoring, runtime governance, and automated compliance validation as ways to reduce the operating cost of secure adoption.</w:t>
      </w:r>
    </w:p>
    <w:p w:rsidR="009E5290" w:rsidRDefault="00000000" w14:paraId="7C0E8CA7" w14:textId="77777777">
      <w:pPr>
        <w:keepNext/>
        <w:spacing w:before="320" w:after="160" w:line="252" w:lineRule="auto"/>
      </w:pPr>
      <w:r>
        <w:rPr>
          <w:b/>
          <w:color w:val="1F3352"/>
          <w:sz w:val="26"/>
        </w:rPr>
        <w:t>Question 3: What policy initiatives are needed for specific industry sectors?</w:t>
      </w:r>
    </w:p>
    <w:p w:rsidR="009E5290" w:rsidRDefault="00000000" w14:paraId="5536E591" w14:textId="77777777">
      <w:pPr>
        <w:keepNext/>
        <w:spacing w:before="160" w:after="60"/>
      </w:pPr>
      <w:r>
        <w:rPr>
          <w:b/>
          <w:i/>
          <w:color w:val="1F3352"/>
          <w:sz w:val="23"/>
        </w:rPr>
        <w:t>Critical third-party IT providers</w:t>
      </w:r>
    </w:p>
    <w:p w:rsidR="009E5290" w:rsidRDefault="00000000" w14:paraId="3611D21B" w14:textId="77777777">
      <w:pPr>
        <w:spacing w:after="160" w:line="276" w:lineRule="auto"/>
        <w:jc w:val="both"/>
      </w:pPr>
      <w:r>
        <w:t>The presenter asked that critical third-party infrastructure and service providers be treated as a distinct policy constituency. Requirements imposed across regulated sectors often concentrate operationally on the providers that run their infrastructure and applications.</w:t>
      </w:r>
    </w:p>
    <w:p w:rsidR="009E5290" w:rsidRDefault="00000000" w14:paraId="64B614E5" w14:textId="77777777">
      <w:pPr>
        <w:keepNext/>
        <w:spacing w:before="160" w:after="60"/>
      </w:pPr>
      <w:r>
        <w:rPr>
          <w:b/>
          <w:i/>
          <w:color w:val="1F3352"/>
          <w:sz w:val="23"/>
        </w:rPr>
        <w:t>Service-management standards for agentic AI</w:t>
      </w:r>
    </w:p>
    <w:p w:rsidR="009E5290" w:rsidRDefault="00000000" w14:paraId="384C9326" w14:textId="77777777">
      <w:pPr>
        <w:spacing w:after="160" w:line="276" w:lineRule="auto"/>
        <w:jc w:val="both"/>
      </w:pPr>
      <w:r>
        <w:t>The presentation identified a gap in service-management standards covering non-human identity, agent cataloging, auditability, lifecycle management, and retirement. Kyndryl reported adapting ITIL practices internally because existing standards did not address these needs.</w:t>
      </w:r>
    </w:p>
    <w:p w:rsidR="009E5290" w:rsidRDefault="00000000" w14:paraId="6CB5D93E" w14:textId="77777777">
      <w:pPr>
        <w:keepNext/>
        <w:spacing w:before="160" w:after="60"/>
      </w:pPr>
      <w:r>
        <w:rPr>
          <w:b/>
          <w:i/>
          <w:color w:val="1F3352"/>
          <w:sz w:val="23"/>
        </w:rPr>
        <w:t>Point-in-time traceability research</w:t>
      </w:r>
    </w:p>
    <w:p w:rsidR="009E5290" w:rsidRDefault="00000000" w14:paraId="175C0175" w14:textId="77777777">
      <w:pPr>
        <w:spacing w:after="160" w:line="276" w:lineRule="auto"/>
        <w:jc w:val="both"/>
      </w:pPr>
      <w:r>
        <w:t>The presenter identified the ability to reconstruct what a model knew and how it was configured at the time of a prior decision as an unresolved technical need. This capability supports audit, incident investigation, and liability analysis.</w:t>
      </w:r>
    </w:p>
    <w:p w:rsidR="009E5290" w:rsidRDefault="00000000" w14:paraId="3FB0A891" w14:textId="77777777">
      <w:pPr>
        <w:keepNext/>
        <w:spacing w:before="160" w:after="60"/>
      </w:pPr>
      <w:r>
        <w:rPr>
          <w:b/>
          <w:i/>
          <w:color w:val="1F3352"/>
          <w:sz w:val="23"/>
        </w:rPr>
        <w:t>Harmonized transparency and auditability requirements</w:t>
      </w:r>
    </w:p>
    <w:p w:rsidR="009E5290" w:rsidRDefault="00000000" w14:paraId="773F8BF4" w14:textId="77777777">
      <w:pPr>
        <w:spacing w:after="160" w:line="276" w:lineRule="auto"/>
        <w:jc w:val="both"/>
      </w:pPr>
      <w:r>
        <w:t>The presenter supported greater alignment of requirements across jurisdictions so that regulated organizations and their providers are not asked to meet inconsistent obligations that exceed current technical capability.</w:t>
      </w:r>
    </w:p>
    <w:p w:rsidR="009E5290" w:rsidRDefault="00000000" w14:paraId="5BE90234" w14:textId="77777777">
      <w:pPr>
        <w:keepNext/>
        <w:spacing w:before="160" w:after="60"/>
      </w:pPr>
      <w:r>
        <w:rPr>
          <w:b/>
          <w:i/>
          <w:color w:val="1F3352"/>
          <w:sz w:val="23"/>
        </w:rPr>
        <w:lastRenderedPageBreak/>
        <w:t>Sector observations from the operating layer</w:t>
      </w:r>
    </w:p>
    <w:p w:rsidR="009E5290" w:rsidRDefault="00000000" w14:paraId="15067AC1" w14:textId="77777777">
      <w:pPr>
        <w:spacing w:after="160" w:line="276" w:lineRule="auto"/>
        <w:jc w:val="both"/>
      </w:pPr>
      <w:r>
        <w:t>The written submission also identified sector-specific priorities observed through Kyndryl's work: provenance, supply-chain assurance, and agent identity for defense; runtime governance, reliability testing, fail-safe controls, and digital-twin validation for energy; explainability, traceability, and continuous auditing for healthcare; and model governance, monitoring, and agent accountability for financial services.</w:t>
      </w:r>
    </w:p>
    <w:p w:rsidR="009E5290" w:rsidRDefault="00000000" w14:paraId="34A00D3D" w14:textId="77777777">
      <w:pPr>
        <w:keepNext/>
        <w:spacing w:before="320" w:after="160" w:line="252" w:lineRule="auto"/>
      </w:pPr>
      <w:r>
        <w:rPr>
          <w:b/>
          <w:color w:val="1F3352"/>
          <w:sz w:val="26"/>
        </w:rPr>
        <w:t>Question 4: How can industry and government best assure effective cybersecurity governance in the AI era?</w:t>
      </w:r>
    </w:p>
    <w:p w:rsidR="009E5290" w:rsidRDefault="00000000" w14:paraId="7B28AFCE" w14:textId="77777777">
      <w:pPr>
        <w:keepNext/>
        <w:spacing w:before="160" w:after="60"/>
      </w:pPr>
      <w:r>
        <w:rPr>
          <w:b/>
          <w:i/>
          <w:color w:val="1F3352"/>
          <w:sz w:val="23"/>
        </w:rPr>
        <w:t>Continuous assurance rather than periodic compliance</w:t>
      </w:r>
    </w:p>
    <w:p w:rsidR="009E5290" w:rsidRDefault="00000000" w14:paraId="62ED5916" w14:textId="77777777">
      <w:pPr>
        <w:spacing w:after="160" w:line="276" w:lineRule="auto"/>
        <w:jc w:val="both"/>
      </w:pPr>
      <w:r>
        <w:t>The presenter proposed moving from point-in-time assessment to continuous assurance because AI systems can act, learn, and change continuously. Monitoring and evidence collection should operate at the tempo of the systems being governed.</w:t>
      </w:r>
    </w:p>
    <w:p w:rsidR="009E5290" w:rsidRDefault="00000000" w14:paraId="467F8685" w14:textId="77777777">
      <w:pPr>
        <w:keepNext/>
        <w:spacing w:before="160" w:after="60"/>
      </w:pPr>
      <w:r>
        <w:rPr>
          <w:b/>
          <w:i/>
          <w:color w:val="1F3352"/>
          <w:sz w:val="23"/>
        </w:rPr>
        <w:t>Shared responsibility</w:t>
      </w:r>
    </w:p>
    <w:p w:rsidR="009E5290" w:rsidRDefault="00000000" w14:paraId="25587AE1" w14:textId="77777777">
      <w:pPr>
        <w:spacing w:after="160" w:line="276" w:lineRule="auto"/>
        <w:jc w:val="both"/>
      </w:pPr>
      <w:r>
        <w:t>The proposed division of responsibility gives government a role in defining minimum outcomes, risk thresholds, common standards and taxonomies, and national threat-intelligence coordination. Industry would implement controls, test and certify systems, monitor behavior, share intelligence, and demonstrate compliance through evidence.</w:t>
      </w:r>
    </w:p>
    <w:p w:rsidR="009E5290" w:rsidRDefault="00000000" w14:paraId="4E6EC60E" w14:textId="77777777">
      <w:pPr>
        <w:keepNext/>
        <w:spacing w:before="160" w:after="60"/>
      </w:pPr>
      <w:r>
        <w:rPr>
          <w:b/>
          <w:i/>
          <w:color w:val="1F3352"/>
          <w:sz w:val="23"/>
        </w:rPr>
        <w:t>Full lifecycle governance</w:t>
      </w:r>
    </w:p>
    <w:p w:rsidR="009E5290" w:rsidRDefault="00000000" w14:paraId="0AB0E965" w14:textId="77777777">
      <w:pPr>
        <w:spacing w:after="160" w:line="276" w:lineRule="auto"/>
        <w:jc w:val="both"/>
      </w:pPr>
      <w:r>
        <w:t>The presenter identified discovery and registration, non-human identity, testing and certification, deployment controls, runtime monitoring, policy enforcement, incident response, and retirement as parts of one lifecycle. Retirement received particular emphasis because agents and models can remain connected or continue operating after their intended use has ended.</w:t>
      </w:r>
    </w:p>
    <w:p w:rsidR="009E5290" w:rsidRDefault="00000000" w14:paraId="3FF68728" w14:textId="77777777">
      <w:pPr>
        <w:keepNext/>
        <w:spacing w:before="160" w:after="60"/>
      </w:pPr>
      <w:r>
        <w:rPr>
          <w:b/>
          <w:i/>
          <w:color w:val="1F3352"/>
          <w:sz w:val="23"/>
        </w:rPr>
        <w:t>Digital trust as the operating principle</w:t>
      </w:r>
    </w:p>
    <w:p w:rsidR="009E5290" w:rsidRDefault="00000000" w14:paraId="6FABDD99" w14:textId="77777777">
      <w:pPr>
        <w:spacing w:after="160" w:line="276" w:lineRule="auto"/>
        <w:jc w:val="both"/>
      </w:pPr>
      <w:r>
        <w:t>The presentation organized governance around security, transparency, auditability, accountability, resilience, sovereignty, and sustainable economics. These principles were presented as the conditions that allow autonomous systems to operate safely in critical services.</w:t>
      </w:r>
    </w:p>
    <w:p w:rsidR="009E5290" w:rsidRDefault="00000000" w14:paraId="2F612F25" w14:textId="77777777">
      <w:pPr>
        <w:keepNext/>
        <w:spacing w:before="160" w:after="60"/>
      </w:pPr>
      <w:r>
        <w:rPr>
          <w:b/>
          <w:i/>
          <w:color w:val="1F3352"/>
          <w:sz w:val="23"/>
        </w:rPr>
        <w:t>Deliberate human authority</w:t>
      </w:r>
    </w:p>
    <w:p w:rsidR="009E5290" w:rsidRDefault="00000000" w14:paraId="3E5A5BF5" w14:textId="77777777">
      <w:pPr>
        <w:spacing w:after="160" w:line="276" w:lineRule="auto"/>
        <w:jc w:val="both"/>
      </w:pPr>
      <w:r>
        <w:t>The presenter's governance model does not remove humans. It requires that human intervention, override, and accountability be designed into AI-first processes at defined points rather than assumed to exist because a person appears somewhere in the workflow.</w:t>
      </w:r>
    </w:p>
    <w:sectPr w:rsidR="009E5290">
      <w:footerReference w:type="default" r:id="rId7"/>
      <w:pgSz w:w="12240" w:h="15840" w:orient="portrait"/>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BF1B70" w:rsidRDefault="00BF1B70" w14:paraId="5DEA8808" w14:textId="77777777">
      <w:r>
        <w:separator/>
      </w:r>
    </w:p>
  </w:endnote>
  <w:endnote w:type="continuationSeparator" w:id="0">
    <w:p w:rsidR="00BF1B70" w:rsidRDefault="00BF1B70" w14:paraId="64C8C4D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9E5290" w:rsidRDefault="00000000" w14:paraId="50D98C0C" w14:textId="77777777">
    <w:pPr>
      <w:jc w:val="center"/>
    </w:pPr>
    <w:r>
      <w:rPr>
        <w:color w:val="666666"/>
        <w:sz w:val="18"/>
        <w:szCs w:val="18"/>
      </w:rPr>
      <w:t xml:space="preserve">ISA Sector Analysis — IT </w:t>
    </w:r>
    <w:proofErr w:type="gramStart"/>
    <w:r>
      <w:rPr>
        <w:color w:val="666666"/>
        <w:sz w:val="18"/>
        <w:szCs w:val="18"/>
      </w:rPr>
      <w:t>Infrastructure  ·</w:t>
    </w:r>
    <w:proofErr w:type="gramEnd"/>
    <w:r>
      <w:rPr>
        <w:color w:val="666666"/>
        <w:sz w:val="18"/>
        <w:szCs w:val="18"/>
      </w:rPr>
      <w:t xml:space="preserve">  </w:t>
    </w:r>
    <w:r>
      <w:rPr>
        <w:color w:val="666666"/>
        <w:sz w:val="18"/>
        <w:szCs w:val="18"/>
      </w:rPr>
      <w:fldChar w:fldCharType="begin"/>
    </w:r>
    <w:r>
      <w:rPr>
        <w:color w:val="666666"/>
        <w:sz w:val="18"/>
        <w:szCs w:val="18"/>
      </w:rPr>
      <w:instrText>PAGE</w:instrText>
    </w:r>
    <w:r>
      <w:rPr>
        <w:color w:val="666666"/>
        <w:sz w:val="18"/>
        <w:szCs w:val="18"/>
      </w:rPr>
      <w:fldChar w:fldCharType="separate"/>
    </w:r>
    <w:r w:rsidR="00A33391">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BF1B70" w:rsidRDefault="00BF1B70" w14:paraId="52FE7BC1" w14:textId="77777777">
      <w:r>
        <w:separator/>
      </w:r>
    </w:p>
  </w:footnote>
  <w:footnote w:type="continuationSeparator" w:id="0">
    <w:p w:rsidR="00BF1B70" w:rsidRDefault="00BF1B70" w14:paraId="7D5059C4" w14:textId="77777777">
      <w:r>
        <w:continuationSeparator/>
      </w:r>
    </w:p>
  </w:footnote>
</w:footnotes>
</file>

<file path=word/intelligence2.xml><?xml version="1.0" encoding="utf-8"?>
<int2:intelligence xmlns:int2="http://schemas.microsoft.com/office/intelligence/2020/intelligence">
  <int2:observations>
    <int2:bookmark int2:bookmarkName="_Int_lCYwZOH2" int2:invalidationBookmarkName="" int2:hashCode="HPDXrqbT50skoB" int2:id="9sspdCs3">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BA00D1"/>
    <w:multiLevelType w:val="hybridMultilevel"/>
    <w:tmpl w:val="E9949622"/>
    <w:lvl w:ilvl="0" w:tplc="31AAC484">
      <w:start w:val="1"/>
      <w:numFmt w:val="bullet"/>
      <w:lvlText w:val="●"/>
      <w:lvlJc w:val="left"/>
      <w:pPr>
        <w:ind w:left="720" w:hanging="360"/>
      </w:pPr>
    </w:lvl>
    <w:lvl w:ilvl="1" w:tplc="7D5A65D2">
      <w:start w:val="1"/>
      <w:numFmt w:val="bullet"/>
      <w:lvlText w:val="○"/>
      <w:lvlJc w:val="left"/>
      <w:pPr>
        <w:ind w:left="1440" w:hanging="360"/>
      </w:pPr>
    </w:lvl>
    <w:lvl w:ilvl="2" w:tplc="9D205AC6">
      <w:start w:val="1"/>
      <w:numFmt w:val="bullet"/>
      <w:lvlText w:val="■"/>
      <w:lvlJc w:val="left"/>
      <w:pPr>
        <w:ind w:left="2160" w:hanging="360"/>
      </w:pPr>
    </w:lvl>
    <w:lvl w:ilvl="3" w:tplc="CD583756">
      <w:start w:val="1"/>
      <w:numFmt w:val="bullet"/>
      <w:lvlText w:val="●"/>
      <w:lvlJc w:val="left"/>
      <w:pPr>
        <w:ind w:left="2880" w:hanging="360"/>
      </w:pPr>
    </w:lvl>
    <w:lvl w:ilvl="4" w:tplc="25A6D838">
      <w:start w:val="1"/>
      <w:numFmt w:val="bullet"/>
      <w:lvlText w:val="○"/>
      <w:lvlJc w:val="left"/>
      <w:pPr>
        <w:ind w:left="3600" w:hanging="360"/>
      </w:pPr>
    </w:lvl>
    <w:lvl w:ilvl="5" w:tplc="5C7EDA4A">
      <w:start w:val="1"/>
      <w:numFmt w:val="bullet"/>
      <w:lvlText w:val="■"/>
      <w:lvlJc w:val="left"/>
      <w:pPr>
        <w:ind w:left="4320" w:hanging="360"/>
      </w:pPr>
    </w:lvl>
    <w:lvl w:ilvl="6" w:tplc="004A9762">
      <w:start w:val="1"/>
      <w:numFmt w:val="bullet"/>
      <w:lvlText w:val="●"/>
      <w:lvlJc w:val="left"/>
      <w:pPr>
        <w:ind w:left="5040" w:hanging="360"/>
      </w:pPr>
    </w:lvl>
    <w:lvl w:ilvl="7" w:tplc="16566698">
      <w:start w:val="1"/>
      <w:numFmt w:val="bullet"/>
      <w:lvlText w:val="●"/>
      <w:lvlJc w:val="left"/>
      <w:pPr>
        <w:ind w:left="5760" w:hanging="360"/>
      </w:pPr>
    </w:lvl>
    <w:lvl w:ilvl="8" w:tplc="4E928842">
      <w:start w:val="1"/>
      <w:numFmt w:val="bullet"/>
      <w:lvlText w:val="●"/>
      <w:lvlJc w:val="left"/>
      <w:pPr>
        <w:ind w:left="6480" w:hanging="360"/>
      </w:pPr>
    </w:lvl>
  </w:abstractNum>
  <w:num w:numId="1" w16cid:durableId="42758294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hideSpellingErrors/>
  <w:hideGrammaticalError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290"/>
    <w:rsid w:val="002558E5"/>
    <w:rsid w:val="002F3B07"/>
    <w:rsid w:val="003E6F4C"/>
    <w:rsid w:val="005410EC"/>
    <w:rsid w:val="009E5290"/>
    <w:rsid w:val="00A23AAC"/>
    <w:rsid w:val="00A33391"/>
    <w:rsid w:val="00BF1B70"/>
    <w:rsid w:val="00DB6C85"/>
    <w:rsid w:val="00E6520D"/>
    <w:rsid w:val="0ADCAF86"/>
    <w:rsid w:val="60836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FFD5D"/>
  <w15:docId w15:val="{01C5D55A-CA74-4BE4-88BB-0721D5E81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hAnsi="Cambria" w:eastAsia="Cambria" w:cs="Cambri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microsoft.com/office/2020/10/relationships/intelligence" Target="intelligence2.xml" Id="R1ef436c2c23d470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7298E6E9BC34E980395B583061CFB" ma:contentTypeVersion="18" ma:contentTypeDescription="Create a new document." ma:contentTypeScope="" ma:versionID="afa86aa6098c1bf0af2f331ce85d2649">
  <xsd:schema xmlns:xsd="http://www.w3.org/2001/XMLSchema" xmlns:xs="http://www.w3.org/2001/XMLSchema" xmlns:p="http://schemas.microsoft.com/office/2006/metadata/properties" xmlns:ns2="6354fb6d-b975-4812-b235-4cd3ecf35ee9" xmlns:ns3="2d78a3be-2cd5-4ec9-a46a-bba9b8acb549" targetNamespace="http://schemas.microsoft.com/office/2006/metadata/properties" ma:root="true" ma:fieldsID="447961d4b3b873c078f693699e736c0c" ns2:_="" ns3:_="">
    <xsd:import namespace="6354fb6d-b975-4812-b235-4cd3ecf35ee9"/>
    <xsd:import namespace="2d78a3be-2cd5-4ec9-a46a-bba9b8acb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54fb6d-b975-4812-b235-4cd3ecf35e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3880ad-313f-46c0-8142-ae925325c3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78a3be-2cd5-4ec9-a46a-bba9b8acb54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550ad6-c585-48cf-918b-c48e8d51fbc6}" ma:internalName="TaxCatchAll" ma:showField="CatchAllData" ma:web="2d78a3be-2cd5-4ec9-a46a-bba9b8acb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54fb6d-b975-4812-b235-4cd3ecf35ee9">
      <Terms xmlns="http://schemas.microsoft.com/office/infopath/2007/PartnerControls"/>
    </lcf76f155ced4ddcb4097134ff3c332f>
    <TaxCatchAll xmlns="2d78a3be-2cd5-4ec9-a46a-bba9b8acb549" xsi:nil="true"/>
  </documentManagement>
</p:properties>
</file>

<file path=customXml/itemProps1.xml><?xml version="1.0" encoding="utf-8"?>
<ds:datastoreItem xmlns:ds="http://schemas.openxmlformats.org/officeDocument/2006/customXml" ds:itemID="{F701A8E2-0CA7-4707-8C56-071AB7EB8BD4}"/>
</file>

<file path=customXml/itemProps2.xml><?xml version="1.0" encoding="utf-8"?>
<ds:datastoreItem xmlns:ds="http://schemas.openxmlformats.org/officeDocument/2006/customXml" ds:itemID="{91BA7CF7-072A-461A-8170-6565B74C633D}"/>
</file>

<file path=customXml/itemProps3.xml><?xml version="1.0" encoding="utf-8"?>
<ds:datastoreItem xmlns:ds="http://schemas.openxmlformats.org/officeDocument/2006/customXml" ds:itemID="{E768E0B3-F027-4EC7-AEDA-85091567C23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Un-named</dc:creator>
  <dc:description>Revised to organize the summary around the four Board questions and avoid adding new policy positions.</dc:description>
  <lastModifiedBy>Jenna Stover (ADMIN)</lastModifiedBy>
  <revision>3</revision>
  <dcterms:created xsi:type="dcterms:W3CDTF">2026-07-17T17:08:00.0000000Z</dcterms:created>
  <dcterms:modified xsi:type="dcterms:W3CDTF">2026-08-26T12:00:40.5201423Z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4f70175f-d83d-403e-9603-ea105a9972d3</vt:lpwstr>
  </property>
  <property fmtid="{D5CDD505-2E9C-101B-9397-08002B2CF9AE}" pid="3" name="ContentTypeId">
    <vt:lpwstr>0x01010002B7298E6E9BC34E980395B583061CFB</vt:lpwstr>
  </property>
  <property fmtid="{D5CDD505-2E9C-101B-9397-08002B2CF9AE}" pid="4" name="Order">
    <vt:r8>44100</vt:r8>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MediaServiceImageTags">
    <vt:lpwstr/>
  </property>
</Properties>
</file>