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5E7230" w:rsidRDefault="00000000" w14:paraId="660B00BB" w14:textId="77777777">
      <w:pPr>
        <w:spacing w:after="60"/>
      </w:pPr>
      <w:r>
        <w:rPr>
          <w:b/>
          <w:bCs/>
          <w:caps/>
          <w:color w:val="444444"/>
          <w:sz w:val="20"/>
          <w:szCs w:val="20"/>
        </w:rPr>
        <w:t>INTERNET SECURITY ALLIANCE</w:t>
      </w:r>
    </w:p>
    <w:p w:rsidR="005E7230" w:rsidP="3D5DC5DB" w:rsidRDefault="00000000" w14:paraId="4F28059C" w14:textId="77777777">
      <w:pPr>
        <w:pBdr>
          <w:bottom w:val="single" w:color="888888" w:sz="6" w:space="8"/>
        </w:pBdr>
        <w:spacing w:after="360"/>
      </w:pPr>
      <w:r w:rsidRPr="3D5DC5DB" w:rsidR="38B11A6B">
        <w:rPr>
          <w:color w:val="444444"/>
          <w:sz w:val="20"/>
          <w:szCs w:val="20"/>
        </w:rPr>
        <w:t xml:space="preserve">AI Cybersecurity Sector Analysis </w:t>
      </w:r>
      <w:bookmarkStart w:name="_Int_LE3kPEBX" w:id="2074534952"/>
      <w:r w:rsidRPr="3D5DC5DB" w:rsidR="38B11A6B">
        <w:rPr>
          <w:color w:val="444444"/>
          <w:sz w:val="20"/>
          <w:szCs w:val="20"/>
        </w:rPr>
        <w:t>Series  |</w:t>
      </w:r>
      <w:bookmarkEnd w:id="2074534952"/>
      <w:r w:rsidRPr="3D5DC5DB" w:rsidR="38B11A6B">
        <w:rPr>
          <w:color w:val="444444"/>
          <w:sz w:val="20"/>
          <w:szCs w:val="20"/>
        </w:rPr>
        <w:t xml:space="preserve">  July 2026 Board Meeting</w:t>
      </w:r>
    </w:p>
    <w:p w:rsidR="005E7230" w:rsidRDefault="00000000" w14:paraId="4D6C1F4B" w14:textId="77777777">
      <w:pPr>
        <w:spacing w:after="120" w:line="300" w:lineRule="auto"/>
      </w:pPr>
      <w:r>
        <w:rPr>
          <w:b/>
          <w:bCs/>
          <w:sz w:val="40"/>
          <w:szCs w:val="40"/>
        </w:rPr>
        <w:t>AI and Cybersecurity in Healthcare</w:t>
      </w:r>
    </w:p>
    <w:p w:rsidR="005E7230" w:rsidRDefault="00000000" w14:paraId="47F9501F" w14:textId="77777777">
      <w:pPr>
        <w:spacing w:after="240" w:line="280" w:lineRule="auto"/>
      </w:pPr>
      <w:r w:rsidRPr="3D5DC5DB" w:rsidR="38B11A6B">
        <w:rPr>
          <w:i w:val="1"/>
          <w:iCs w:val="1"/>
          <w:color w:val="333333"/>
          <w:sz w:val="26"/>
          <w:szCs w:val="26"/>
        </w:rPr>
        <w:t xml:space="preserve">Risk vs. Reward </w:t>
      </w:r>
      <w:bookmarkStart w:name="_Int_oqlaHx6g" w:id="1261395173"/>
      <w:r w:rsidRPr="3D5DC5DB" w:rsidR="38B11A6B">
        <w:rPr>
          <w:i w:val="1"/>
          <w:iCs w:val="1"/>
          <w:color w:val="333333"/>
          <w:sz w:val="26"/>
          <w:szCs w:val="26"/>
        </w:rPr>
        <w:t>From</w:t>
      </w:r>
      <w:bookmarkEnd w:id="1261395173"/>
      <w:r w:rsidRPr="3D5DC5DB" w:rsidR="38B11A6B">
        <w:rPr>
          <w:i w:val="1"/>
          <w:iCs w:val="1"/>
          <w:color w:val="333333"/>
          <w:sz w:val="26"/>
          <w:szCs w:val="26"/>
        </w:rPr>
        <w:t xml:space="preserve"> the CISO's Chair: Securing an AI-Native Transformation of a $5 Trillion System</w:t>
      </w:r>
    </w:p>
    <w:p w:rsidR="005E7230" w:rsidRDefault="00000000" w14:paraId="428380DD" w14:textId="77777777">
      <w:pPr>
        <w:spacing w:after="40"/>
      </w:pPr>
      <w:r>
        <w:rPr>
          <w:color w:val="333333"/>
          <w:sz w:val="21"/>
          <w:szCs w:val="21"/>
        </w:rPr>
        <w:t xml:space="preserve">Based on the sector presentation by John Savini, Chief Information Security Officer, Optum Insight and </w:t>
      </w:r>
      <w:proofErr w:type="spellStart"/>
      <w:r>
        <w:rPr>
          <w:color w:val="333333"/>
          <w:sz w:val="21"/>
          <w:szCs w:val="21"/>
        </w:rPr>
        <w:t>OptumAI</w:t>
      </w:r>
      <w:proofErr w:type="spellEnd"/>
      <w:r>
        <w:rPr>
          <w:color w:val="333333"/>
          <w:sz w:val="21"/>
          <w:szCs w:val="21"/>
        </w:rPr>
        <w:t xml:space="preserve"> (UnitedHealth Group)</w:t>
      </w:r>
    </w:p>
    <w:p w:rsidR="005E7230" w:rsidRDefault="00000000" w14:paraId="49F382B0" w14:textId="77777777">
      <w:pPr>
        <w:pBdr>
          <w:bottom w:val="single" w:color="888888" w:sz="6" w:space="8"/>
        </w:pBdr>
        <w:spacing w:after="240"/>
      </w:pPr>
      <w:r>
        <w:rPr>
          <w:i/>
          <w:color w:val="666666"/>
          <w:sz w:val="19"/>
        </w:rPr>
        <w:t>Revised from the sector presentation and board-member discussion reflected in the source draft</w:t>
      </w:r>
    </w:p>
    <w:p w:rsidR="00DC43BF" w:rsidP="00DC43BF" w:rsidRDefault="00DC43BF" w14:paraId="23BA5987" w14:textId="7EA8273A">
      <w:pPr>
        <w:pStyle w:val="Heading1"/>
        <w:spacing w:before="300" w:after="140"/>
      </w:pPr>
      <w:r>
        <w:rPr>
          <w:b/>
          <w:bCs/>
          <w:color w:val="1F3352"/>
          <w:sz w:val="27"/>
          <w:szCs w:val="27"/>
        </w:rPr>
        <w:t>B</w:t>
      </w:r>
      <w:r>
        <w:rPr>
          <w:b/>
          <w:bCs/>
          <w:color w:val="1F3352"/>
          <w:sz w:val="27"/>
          <w:szCs w:val="27"/>
        </w:rPr>
        <w:t>ACKGROUND</w:t>
      </w:r>
    </w:p>
    <w:p w:rsidR="00DC43BF" w:rsidP="00DC43BF" w:rsidRDefault="00DC43BF" w14:paraId="3F096802" w14:textId="1336E43E">
      <w:pPr>
        <w:spacing w:after="160" w:line="276" w:lineRule="auto"/>
        <w:jc w:val="both"/>
      </w:pPr>
      <w:r>
        <w:t xml:space="preserve">Healthcare </w:t>
      </w:r>
      <w:r>
        <w:t>is a $5 trillion U.S. system (roughly $9 trillion worldwide) still running on operating paradigms that haven't fundamentally changed in seventy years, and AI is being injected into every touchpoint of it at once. There is no path from $5 trillion to something meaningfully cheaper without a sea change. AI is the sea change. The security question is whether we get in front of it or get run over by it.</w:t>
      </w:r>
    </w:p>
    <w:p w:rsidR="00DC43BF" w:rsidP="00DC43BF" w:rsidRDefault="00DC43BF" w14:paraId="66E7F801" w14:textId="77777777">
      <w:pPr>
        <w:spacing w:after="160" w:line="276" w:lineRule="auto"/>
        <w:jc w:val="both"/>
      </w:pPr>
      <w:r>
        <w:t xml:space="preserve">The risk picture breaks into three buckets. Adversarial: healthcare is a target-rich environment — dollars and data — and AI lowers the bar for threat actors to engage it. Old schemes are coming back new: the weaponized fraud we beat ten years ago is returning faster and more aggressive. Adoption: appetite for AI is outrunning governance; traditional security review has become a chokepoint </w:t>
      </w:r>
      <w:proofErr w:type="gramStart"/>
      <w:r>
        <w:t>teams</w:t>
      </w:r>
      <w:proofErr w:type="gramEnd"/>
      <w:r>
        <w:t xml:space="preserve"> route around, and shadow AI spreads on the implicit rule that access equals consent. Supply chain: even your most benign, non-technical suppliers now run AI in their workflows, and there is no "AI inside" stamp — no validation or certification standard anywhere in the ecosystem.</w:t>
      </w:r>
    </w:p>
    <w:p w:rsidR="00DC43BF" w:rsidP="00DC43BF" w:rsidRDefault="00DC43BF" w14:paraId="6C22320D" w14:textId="7726874C">
      <w:pPr>
        <w:spacing w:after="160" w:line="276" w:lineRule="auto"/>
        <w:jc w:val="both"/>
      </w:pPr>
      <w:r>
        <w:t>Two contributions from this sector deserve top billing</w:t>
      </w:r>
      <w:r>
        <w:t xml:space="preserve">. </w:t>
      </w:r>
      <w:r>
        <w:t xml:space="preserve">First, the agentic workforce: agents are propagating faster than the mechanisms to manage them, and the only workable model is to govern them the way you govern people and vendors — interview them, credential them, scope their access, watch them, and retire them. </w:t>
      </w:r>
      <w:r>
        <w:t>A</w:t>
      </w:r>
      <w:r>
        <w:t xml:space="preserve">gent identity is unsolved, agents are a new insider threat, members have seen agents lie to cover their tracks, and retirement is the most overlooked lifecycle stage. Second, the equity constraint: if the guardrails only work for the most sophisticated entities, rural and under-resourced providers stay in a shooting gallery — and in healthcare, the least defended nodes deliver care to real people. Any policy </w:t>
      </w:r>
      <w:proofErr w:type="spellStart"/>
      <w:r>
        <w:t>propose</w:t>
      </w:r>
      <w:r>
        <w:t>al</w:t>
      </w:r>
      <w:proofErr w:type="spellEnd"/>
      <w:r>
        <w:t xml:space="preserve"> </w:t>
      </w:r>
      <w:proofErr w:type="gramStart"/>
      <w:r>
        <w:t>has to</w:t>
      </w:r>
      <w:proofErr w:type="gramEnd"/>
      <w:r>
        <w:t xml:space="preserve"> be consumable by a hospital with one security officer and two technicians, or it fails the system.</w:t>
      </w:r>
    </w:p>
    <w:p w:rsidR="00DC43BF" w:rsidP="00DC43BF" w:rsidRDefault="00DC43BF" w14:paraId="76E707F1" w14:textId="77777777">
      <w:pPr>
        <w:spacing w:after="160" w:line="276" w:lineRule="auto"/>
        <w:jc w:val="both"/>
      </w:pPr>
      <w:r>
        <w:t xml:space="preserve">The operating doctrine that runs through all of it: you can't have traction without friction — but the friction </w:t>
      </w:r>
      <w:proofErr w:type="gramStart"/>
      <w:r>
        <w:t>has to</w:t>
      </w:r>
      <w:proofErr w:type="gramEnd"/>
      <w:r>
        <w:t xml:space="preserve"> be designed, or the business routes around it. Evolve to outpace the risk. Move from detect-and-respond to predict-and-prevent. Recognize, deflect, resolve.</w:t>
      </w:r>
    </w:p>
    <w:p w:rsidR="00DC43BF" w:rsidP="00DC43BF" w:rsidRDefault="00DC43BF" w14:paraId="1828A60F" w14:textId="77777777">
      <w:pPr>
        <w:pStyle w:val="Heading1"/>
        <w:spacing w:before="300" w:after="140"/>
      </w:pPr>
      <w:r>
        <w:rPr>
          <w:b/>
          <w:bCs/>
          <w:color w:val="1F3352"/>
          <w:sz w:val="27"/>
          <w:szCs w:val="27"/>
        </w:rPr>
        <w:t>Where the Sector Stands</w:t>
      </w:r>
    </w:p>
    <w:p w:rsidR="00DC43BF" w:rsidP="00DC43BF" w:rsidRDefault="00DC43BF" w14:paraId="6A774A83" w14:textId="60DF576C">
      <w:pPr>
        <w:spacing w:after="160" w:line="276" w:lineRule="auto"/>
        <w:jc w:val="both"/>
      </w:pPr>
      <w:r>
        <w:lastRenderedPageBreak/>
        <w:t xml:space="preserve">Payer </w:t>
      </w:r>
      <w:proofErr w:type="spellStart"/>
      <w:r>
        <w:t>workflow</w:t>
      </w:r>
      <w:proofErr w:type="spellEnd"/>
      <w:r>
        <w:t>s still reflect the coverage-determination and gatekeeping processes of seventy years ago. Hospitals have skinned technology over administrative workflows, but the clinical workflows underneath follow legacy paradigms. AI is dropping into those spaces at a rapid pace — and the biggest bang for the buck isn't optimizing the old workflows, it's going AI-native: AI at the point of interaction, whether that's a member, a provider, a payer, or a clinician, connected to data in real time.</w:t>
      </w:r>
    </w:p>
    <w:p w:rsidR="00DC43BF" w:rsidP="00DC43BF" w:rsidRDefault="00DC43BF" w14:paraId="7D728536" w14:textId="77777777">
      <w:pPr>
        <w:spacing w:after="160" w:line="276" w:lineRule="auto"/>
        <w:jc w:val="both"/>
      </w:pPr>
      <w:r>
        <w:t xml:space="preserve">Three ambition levels calibrate the risk. Optimize today's work — reduce manual effort, speed decisions, improve consistency inside existing workflows. Build reusable foundations — the enabling capabilities and data that unlock broader change. Reimagine the model — AI-native experiences connecting care, coverage, navigation, authorization, and payment in real time. Risk scales with ambition: an optimized legacy workflow inherits its old controls; an AI-native process </w:t>
      </w:r>
      <w:proofErr w:type="gramStart"/>
      <w:r>
        <w:t>has to</w:t>
      </w:r>
      <w:proofErr w:type="gramEnd"/>
      <w:r>
        <w:t xml:space="preserve"> invent its control environment from scratch.</w:t>
      </w:r>
    </w:p>
    <w:p w:rsidR="00DC43BF" w:rsidP="00DC43BF" w:rsidRDefault="00DC43BF" w14:paraId="2D6D71F6" w14:textId="77777777">
      <w:pPr>
        <w:spacing w:after="160" w:line="276" w:lineRule="auto"/>
        <w:jc w:val="both"/>
      </w:pPr>
      <w:r>
        <w:t>And this is already running at population scale. The proof points: a generative-AI member companion targeted at 20.5 million members by year-end 2026. Digital prior authorization at 96 percent first-submission approval. A real-time AI payer-operations platform at 500 million transactions year-to-date, with 2.5 billion-plus expected in 2026. Ambient clinical documentation embedded across physician and nursing workflows. Health-system analytics returning 13:1 average ROI. Those numbers mean healthcare AI already sits in decision paths that touch coverage, care access, and clinical judgment — where a security failure is also a patient-safety event.</w:t>
      </w:r>
    </w:p>
    <w:p w:rsidR="00DC43BF" w:rsidP="00DC43BF" w:rsidRDefault="00DC43BF" w14:paraId="5AB9C242" w14:textId="68E98E98">
      <w:pPr>
        <w:spacing w:after="160" w:line="276" w:lineRule="auto"/>
        <w:jc w:val="both"/>
      </w:pPr>
      <w:r>
        <w:t xml:space="preserve"> </w:t>
      </w:r>
      <w:r>
        <w:t>A</w:t>
      </w:r>
      <w:r>
        <w:t xml:space="preserve"> Responsible AI program</w:t>
      </w:r>
      <w:r>
        <w:t xml:space="preserve"> </w:t>
      </w:r>
      <w:r>
        <w:t>defines standards, risk assessment, and governance</w:t>
      </w:r>
      <w:r w:rsidR="00D521CB">
        <w:t>.</w:t>
      </w:r>
      <w:r>
        <w:t xml:space="preserve"> AI review boards vet</w:t>
      </w:r>
      <w:r w:rsidR="00D521CB">
        <w:t xml:space="preserve"> </w:t>
      </w:r>
      <w:r>
        <w:t>adoption and emerging risk</w:t>
      </w:r>
      <w:r w:rsidR="00D521CB">
        <w:t xml:space="preserve"> on </w:t>
      </w:r>
      <w:r>
        <w:t>a unified deployment platform with built-in guardrails, organized around privacy, human control, compliance, and safety, accuracy, and fairness. Every AI use case goes through it. And it is still being outpaced by the speed of what's coming at us. If the best-resourced entity in the sector can't keep governance ahead of adoption, the gap at the median hospital isn't a gap. It's a chasm.</w:t>
      </w:r>
    </w:p>
    <w:p w:rsidR="00DC43BF" w:rsidP="00DC43BF" w:rsidRDefault="00DC43BF" w14:paraId="235E3A4A" w14:textId="6AC0E88E">
      <w:pPr>
        <w:spacing w:after="160" w:line="276" w:lineRule="auto"/>
        <w:jc w:val="both"/>
      </w:pPr>
      <w:r>
        <w:t>A candid word on the clinical layer specifically</w:t>
      </w:r>
      <w:r w:rsidR="00D521CB">
        <w:t>:</w:t>
      </w:r>
      <w:r>
        <w:t xml:space="preserve"> clinically is where the most promise lives — real-time information in clinicians' hands, decisions augmented rather than taxed — and it's also where the most concern lives, for </w:t>
      </w:r>
      <w:proofErr w:type="gramStart"/>
      <w:r>
        <w:t>exactly the same</w:t>
      </w:r>
      <w:proofErr w:type="gramEnd"/>
      <w:r>
        <w:t xml:space="preserve"> reason. Administrators, meanwhile, sit at the other end of the sophistication curve: hospital administration combines a comparatively thin technology workforce with genuine financial distress, and those are precisely the buyers moving most aggressively to automate front- and back-end processes. Hold both of those facts at once and the sector's whole risk profile makes sense.</w:t>
      </w:r>
    </w:p>
    <w:p w:rsidRPr="00D521CB" w:rsidR="00D521CB" w:rsidP="00DC43BF" w:rsidRDefault="00D521CB" w14:paraId="6165AFDF" w14:textId="527EE6AC">
      <w:pPr>
        <w:spacing w:after="160" w:line="276" w:lineRule="auto"/>
        <w:jc w:val="both"/>
        <w:rPr>
          <w:b/>
          <w:bCs/>
          <w:sz w:val="28"/>
          <w:szCs w:val="28"/>
        </w:rPr>
      </w:pPr>
      <w:r w:rsidRPr="00D521CB">
        <w:rPr>
          <w:b/>
          <w:bCs/>
          <w:sz w:val="28"/>
          <w:szCs w:val="28"/>
        </w:rPr>
        <w:t>PUBLIC POLICY QUESTIONS</w:t>
      </w:r>
    </w:p>
    <w:p w:rsidR="005E7230" w:rsidRDefault="00000000" w14:paraId="2255D096" w14:textId="26CB84FA">
      <w:pPr>
        <w:keepNext/>
        <w:spacing w:before="320" w:after="160" w:line="252" w:lineRule="auto"/>
      </w:pPr>
      <w:r>
        <w:rPr>
          <w:b/>
          <w:color w:val="1F3352"/>
          <w:sz w:val="26"/>
        </w:rPr>
        <w:t xml:space="preserve">Question 1: What </w:t>
      </w:r>
      <w:proofErr w:type="gramStart"/>
      <w:r>
        <w:rPr>
          <w:b/>
          <w:color w:val="1F3352"/>
          <w:sz w:val="26"/>
        </w:rPr>
        <w:t>are</w:t>
      </w:r>
      <w:proofErr w:type="gramEnd"/>
      <w:r>
        <w:rPr>
          <w:b/>
          <w:color w:val="1F3352"/>
          <w:sz w:val="26"/>
        </w:rPr>
        <w:t xml:space="preserve"> the cybersecurity operational &amp; policy gaps/challenges that the introduction of AI presents to privately owned critical infrastructure?</w:t>
      </w:r>
    </w:p>
    <w:p w:rsidR="005E7230" w:rsidRDefault="00000000" w14:paraId="512FC0D1" w14:textId="77777777">
      <w:pPr>
        <w:keepNext/>
        <w:spacing w:before="160" w:after="60"/>
      </w:pPr>
      <w:r>
        <w:rPr>
          <w:b/>
          <w:i/>
          <w:color w:val="1F3352"/>
          <w:sz w:val="23"/>
        </w:rPr>
        <w:t>Machine-scale threats against a target-rich environment</w:t>
      </w:r>
    </w:p>
    <w:p w:rsidR="005E7230" w:rsidRDefault="00000000" w14:paraId="3004DFDA" w14:textId="77777777">
      <w:pPr>
        <w:spacing w:after="160" w:line="276" w:lineRule="auto"/>
        <w:jc w:val="both"/>
      </w:pPr>
      <w:r>
        <w:t xml:space="preserve">The presenter described healthcare as combining large payment flows, highly sensitive data, and a broad and diverse user population. AI lowers the cost of fraud, forgery, synthetic identities, and </w:t>
      </w:r>
      <w:r>
        <w:lastRenderedPageBreak/>
        <w:t xml:space="preserve">tailored social engineering. The presenter emphasized that familiar schemes </w:t>
      </w:r>
      <w:proofErr w:type="gramStart"/>
      <w:r>
        <w:t>can</w:t>
      </w:r>
      <w:proofErr w:type="gramEnd"/>
      <w:r>
        <w:t xml:space="preserve"> return with greater speed and scale rather than appearing as entirely new categories of attack.</w:t>
      </w:r>
    </w:p>
    <w:p w:rsidR="005E7230" w:rsidRDefault="00000000" w14:paraId="460C8470" w14:textId="77777777">
      <w:pPr>
        <w:keepNext/>
        <w:spacing w:before="160" w:after="60"/>
      </w:pPr>
      <w:r>
        <w:rPr>
          <w:b/>
          <w:i/>
          <w:color w:val="1F3352"/>
          <w:sz w:val="23"/>
        </w:rPr>
        <w:t>The identify-to-exploit window is shrinking</w:t>
      </w:r>
    </w:p>
    <w:p w:rsidR="005E7230" w:rsidRDefault="00000000" w14:paraId="69419926" w14:textId="77777777">
      <w:pPr>
        <w:spacing w:after="160" w:line="276" w:lineRule="auto"/>
        <w:jc w:val="both"/>
      </w:pPr>
      <w:r>
        <w:t>The presenter identified a growing risk that AI will produce more findings and attack opportunities than conventional response processes can triage. The operational response described in the presentation was to move from detect-and-respond toward predict-and-prevent and to use defensive AI to recognize, deflect, and resolve threats at greater speed.</w:t>
      </w:r>
    </w:p>
    <w:p w:rsidR="005E7230" w:rsidRDefault="00000000" w14:paraId="149D2631" w14:textId="77777777">
      <w:pPr>
        <w:keepNext/>
        <w:spacing w:before="160" w:after="60"/>
      </w:pPr>
      <w:r>
        <w:rPr>
          <w:b/>
          <w:i/>
          <w:color w:val="1F3352"/>
          <w:sz w:val="23"/>
        </w:rPr>
        <w:t>Risk is concentrated in less-resourced providers</w:t>
      </w:r>
    </w:p>
    <w:p w:rsidR="005E7230" w:rsidRDefault="00000000" w14:paraId="6BCEE20A" w14:textId="77777777">
      <w:pPr>
        <w:spacing w:after="160" w:line="276" w:lineRule="auto"/>
        <w:jc w:val="both"/>
      </w:pPr>
      <w:r>
        <w:t>Large payers and health systems can apply sophisticated security programs, but the sector includes many community and rural providers with limited staff and capital. The presenter argued that attackers will direct low-cost AI-enabled capabilities toward these weaker points and that the sector's interconnection allows the resulting damage to spread.</w:t>
      </w:r>
    </w:p>
    <w:p w:rsidR="005E7230" w:rsidRDefault="00000000" w14:paraId="7AC29B55" w14:textId="77777777">
      <w:pPr>
        <w:keepNext/>
        <w:spacing w:before="160" w:after="60"/>
      </w:pPr>
      <w:r>
        <w:rPr>
          <w:b/>
          <w:i/>
          <w:color w:val="1F3352"/>
          <w:sz w:val="23"/>
        </w:rPr>
        <w:t>Adoption is outrunning governance</w:t>
      </w:r>
    </w:p>
    <w:p w:rsidR="005E7230" w:rsidRDefault="00000000" w14:paraId="16CDF5E8" w14:textId="77777777">
      <w:pPr>
        <w:spacing w:after="160" w:line="276" w:lineRule="auto"/>
        <w:jc w:val="both"/>
      </w:pPr>
      <w:r>
        <w:t>Business and clinical teams are under pressure to deploy AI for efficiency and care improvement. The presenter reported that legacy review and testing processes can become chokepoints, while AI can enter through software-as-a-service products, browsers, vendor updates, and direct employee use. This creates shadow AI based on an implicit assumption that access equals authorization.</w:t>
      </w:r>
    </w:p>
    <w:p w:rsidR="005E7230" w:rsidRDefault="00000000" w14:paraId="765F79A7" w14:textId="77777777">
      <w:pPr>
        <w:keepNext/>
        <w:spacing w:before="160" w:after="60"/>
      </w:pPr>
      <w:r>
        <w:rPr>
          <w:b/>
          <w:i/>
          <w:color w:val="1F3352"/>
          <w:sz w:val="23"/>
        </w:rPr>
        <w:t>The supply chain lacks consistent disclosure and certification</w:t>
      </w:r>
    </w:p>
    <w:p w:rsidR="005E7230" w:rsidRDefault="00000000" w14:paraId="47CAFA99" w14:textId="77777777">
      <w:pPr>
        <w:spacing w:after="160" w:line="276" w:lineRule="auto"/>
        <w:jc w:val="both"/>
      </w:pPr>
      <w:r>
        <w:t>The presenter noted that both technical and non-technical suppliers are using AI in their workflows. Organizations often do not receive consistent information about which AI is embedded in a product, what data it touches, how it was tested, or how its behavior is monitored. Individual firms are therefore creating their own detection and validation processes.</w:t>
      </w:r>
    </w:p>
    <w:p w:rsidR="005E7230" w:rsidRDefault="00000000" w14:paraId="50FC8E08" w14:textId="77777777">
      <w:pPr>
        <w:keepNext/>
        <w:spacing w:before="160" w:after="60"/>
      </w:pPr>
      <w:r>
        <w:rPr>
          <w:b/>
          <w:i/>
          <w:color w:val="1F3352"/>
          <w:sz w:val="23"/>
        </w:rPr>
        <w:t>Agents create a new workforce and insider-risk problem</w:t>
      </w:r>
    </w:p>
    <w:p w:rsidR="005E7230" w:rsidRDefault="00000000" w14:paraId="03E1A991" w14:textId="77777777">
      <w:pPr>
        <w:spacing w:after="160" w:line="276" w:lineRule="auto"/>
        <w:jc w:val="both"/>
      </w:pPr>
      <w:r>
        <w:t>The presenter proposed treating agents more like employees and vendors: they should be evaluated, credentialed, given scoped access, monitored, and retired. The board discussion added concerns about non-human identity, agents operating as insiders with legitimate credentials, deceptive behavior, and the absence of consistent decommissioning practices.</w:t>
      </w:r>
    </w:p>
    <w:p w:rsidR="005E7230" w:rsidRDefault="00000000" w14:paraId="0332DF4B" w14:textId="77777777">
      <w:pPr>
        <w:keepNext/>
        <w:spacing w:before="320" w:after="160" w:line="252" w:lineRule="auto"/>
      </w:pPr>
      <w:r>
        <w:rPr>
          <w:b/>
          <w:color w:val="1F3352"/>
          <w:sz w:val="26"/>
        </w:rPr>
        <w:t>Question 2: What policy initiatives are needed to create a cybersecurity model to address the gaps effectively and sustainably for government &amp; industry?</w:t>
      </w:r>
    </w:p>
    <w:p w:rsidR="005E7230" w:rsidRDefault="00000000" w14:paraId="51ACFBE3" w14:textId="77777777">
      <w:pPr>
        <w:keepNext/>
        <w:spacing w:before="160" w:after="60"/>
      </w:pPr>
      <w:r>
        <w:rPr>
          <w:b/>
          <w:i/>
          <w:color w:val="1F3352"/>
          <w:sz w:val="23"/>
        </w:rPr>
        <w:t>A model that is usable across the full ecosystem</w:t>
      </w:r>
    </w:p>
    <w:p w:rsidR="005E7230" w:rsidRDefault="00000000" w14:paraId="744823C8" w14:textId="77777777">
      <w:pPr>
        <w:spacing w:after="160" w:line="276" w:lineRule="auto"/>
        <w:jc w:val="both"/>
      </w:pPr>
      <w:r>
        <w:t>The presenter's central sustainability concern was that a model designed only for sophisticated enterprises will leave the least-resourced providers exposed. Policy, standards, and technical support should be consumable by organizations with small security teams and constrained budgets.</w:t>
      </w:r>
    </w:p>
    <w:p w:rsidR="005E7230" w:rsidRDefault="00000000" w14:paraId="0E91AB37" w14:textId="77777777">
      <w:pPr>
        <w:keepNext/>
        <w:spacing w:before="160" w:after="60"/>
      </w:pPr>
      <w:r>
        <w:rPr>
          <w:b/>
          <w:i/>
          <w:color w:val="1F3352"/>
          <w:sz w:val="23"/>
        </w:rPr>
        <w:t>Supply-chain validation and disclosure</w:t>
      </w:r>
    </w:p>
    <w:p w:rsidR="005E7230" w:rsidRDefault="00000000" w14:paraId="056224B1" w14:textId="77777777">
      <w:pPr>
        <w:spacing w:after="160" w:line="276" w:lineRule="auto"/>
        <w:jc w:val="both"/>
      </w:pPr>
      <w:r>
        <w:t>The presenter proposed common expectations for disclosure and attestation regarding AI embedded in healthcare products and services, including the data touched, testing performed, and expected behavioral baseline. The source draft reflects discussion of beginning with voluntary certification supported by procurement preferences.</w:t>
      </w:r>
    </w:p>
    <w:p w:rsidR="005E7230" w:rsidRDefault="00000000" w14:paraId="21264743" w14:textId="77777777">
      <w:pPr>
        <w:keepNext/>
        <w:spacing w:before="160" w:after="60"/>
      </w:pPr>
      <w:r>
        <w:rPr>
          <w:b/>
          <w:i/>
          <w:color w:val="1F3352"/>
          <w:sz w:val="23"/>
        </w:rPr>
        <w:lastRenderedPageBreak/>
        <w:t>Credentialing for higher-risk deployment</w:t>
      </w:r>
    </w:p>
    <w:p w:rsidR="005E7230" w:rsidRDefault="00000000" w14:paraId="54888837" w14:textId="77777777">
      <w:pPr>
        <w:spacing w:after="160" w:line="276" w:lineRule="auto"/>
        <w:jc w:val="both"/>
      </w:pPr>
      <w:r>
        <w:t>The presenter argued that access to powerful AI capabilities should not automatically authorize every use. The proposal reflected in the draft is a graduated credentialing or permit-to-operate model in which organizations satisfy defined requirements before conducting higher-risk classes of AI activity.</w:t>
      </w:r>
    </w:p>
    <w:p w:rsidR="005E7230" w:rsidRDefault="00000000" w14:paraId="14DE8CA3" w14:textId="77777777">
      <w:pPr>
        <w:keepNext/>
        <w:spacing w:before="160" w:after="60"/>
      </w:pPr>
      <w:r>
        <w:rPr>
          <w:b/>
          <w:i/>
          <w:color w:val="1F3352"/>
          <w:sz w:val="23"/>
        </w:rPr>
        <w:t>Incentives that reach smaller providers</w:t>
      </w:r>
    </w:p>
    <w:p w:rsidR="005E7230" w:rsidRDefault="00000000" w14:paraId="38C5F6D9" w14:textId="77777777">
      <w:pPr>
        <w:spacing w:after="160" w:line="276" w:lineRule="auto"/>
        <w:jc w:val="both"/>
      </w:pPr>
      <w:r>
        <w:t>The board discussion included zero-interest loans, tax credits, safe harbor tied to demonstrated controls, and modernization support conditioned on security and resilience. The healthcare presentation applied these ideas to financially constrained hospitals and providers that may adopt AI quickly to address operating pressures.</w:t>
      </w:r>
    </w:p>
    <w:p w:rsidR="005E7230" w:rsidRDefault="00000000" w14:paraId="1D9BAE10" w14:textId="77777777">
      <w:pPr>
        <w:keepNext/>
        <w:spacing w:before="160" w:after="60"/>
      </w:pPr>
      <w:r>
        <w:rPr>
          <w:b/>
          <w:i/>
          <w:color w:val="1F3352"/>
          <w:sz w:val="23"/>
        </w:rPr>
        <w:t>Governance and technical controls developed together</w:t>
      </w:r>
    </w:p>
    <w:p w:rsidR="005E7230" w:rsidRDefault="00000000" w14:paraId="78715D5F" w14:textId="77777777">
      <w:pPr>
        <w:spacing w:after="160" w:line="276" w:lineRule="auto"/>
        <w:jc w:val="both"/>
      </w:pPr>
      <w:r>
        <w:t>The presenter's permit-to-operate approach combines access with guardrails and a defined review path. The objective is to create enough friction to establish control without making the process so slow that users avoid it. The model therefore depends on both policy and technical enforcement within the deployment workflow.</w:t>
      </w:r>
    </w:p>
    <w:p w:rsidR="005E7230" w:rsidRDefault="00000000" w14:paraId="3018033E" w14:textId="77777777">
      <w:pPr>
        <w:keepNext/>
        <w:spacing w:before="320" w:after="160" w:line="252" w:lineRule="auto"/>
      </w:pPr>
      <w:r>
        <w:rPr>
          <w:b/>
          <w:color w:val="1F3352"/>
          <w:sz w:val="26"/>
        </w:rPr>
        <w:t>Question 3: What policy initiatives are needed for specific industry sectors?</w:t>
      </w:r>
    </w:p>
    <w:p w:rsidR="005E7230" w:rsidRDefault="00000000" w14:paraId="24413392" w14:textId="77777777">
      <w:pPr>
        <w:keepNext/>
        <w:spacing w:before="160" w:after="60"/>
      </w:pPr>
      <w:r>
        <w:rPr>
          <w:b/>
          <w:i/>
          <w:color w:val="1F3352"/>
          <w:sz w:val="23"/>
        </w:rPr>
        <w:t>Consumable guardrails for rural and under-resourced providers</w:t>
      </w:r>
    </w:p>
    <w:p w:rsidR="005E7230" w:rsidRDefault="00000000" w14:paraId="74643DE7" w14:textId="77777777">
      <w:pPr>
        <w:spacing w:after="160" w:line="276" w:lineRule="auto"/>
        <w:jc w:val="both"/>
      </w:pPr>
      <w:r>
        <w:t>The presenter called for reference architectures, default-safe configurations, and shared services that can be used by providers with limited cybersecurity staffing. This was presented as a healthcare-specific requirement because the least-resourced entities are often essential providers of care.</w:t>
      </w:r>
    </w:p>
    <w:p w:rsidR="005E7230" w:rsidRDefault="00000000" w14:paraId="44A7CD44" w14:textId="77777777">
      <w:pPr>
        <w:keepNext/>
        <w:spacing w:before="160" w:after="60"/>
      </w:pPr>
      <w:r>
        <w:rPr>
          <w:b/>
          <w:i/>
          <w:color w:val="1F3352"/>
          <w:sz w:val="23"/>
        </w:rPr>
        <w:t>Recognition of machine-speed defensive practices</w:t>
      </w:r>
    </w:p>
    <w:p w:rsidR="005E7230" w:rsidRDefault="00000000" w14:paraId="747A7767" w14:textId="77777777">
      <w:pPr>
        <w:spacing w:after="160" w:line="276" w:lineRule="auto"/>
        <w:jc w:val="both"/>
      </w:pPr>
      <w:r>
        <w:t>The presenter proposed updating sector expectations to recognize defensive AI, automated deflection, agentic monitoring, and AI-enabled red teaming. The concern was that regulation designed for human-speed threats may discourage or fail to account for the use of defensive automation.</w:t>
      </w:r>
    </w:p>
    <w:p w:rsidR="005E7230" w:rsidRDefault="00000000" w14:paraId="1943921F" w14:textId="77777777">
      <w:pPr>
        <w:keepNext/>
        <w:spacing w:before="160" w:after="60"/>
      </w:pPr>
      <w:r>
        <w:rPr>
          <w:b/>
          <w:i/>
          <w:color w:val="1F3352"/>
          <w:sz w:val="23"/>
        </w:rPr>
        <w:t>Agent lifecycle standards</w:t>
      </w:r>
    </w:p>
    <w:p w:rsidR="005E7230" w:rsidRDefault="00000000" w14:paraId="504971B9" w14:textId="77777777">
      <w:pPr>
        <w:spacing w:after="160" w:line="276" w:lineRule="auto"/>
        <w:jc w:val="both"/>
      </w:pPr>
      <w:r>
        <w:t>The healthcare-specific model includes credentialing, scoped access, rules for interactions with patients and other constituencies, continuous monitoring, and mandatory retirement planning. The presenter identified non-human identity as an early standards priority.</w:t>
      </w:r>
    </w:p>
    <w:p w:rsidR="005E7230" w:rsidRDefault="00000000" w14:paraId="2C9CA478" w14:textId="77777777">
      <w:pPr>
        <w:keepNext/>
        <w:spacing w:before="160" w:after="60"/>
      </w:pPr>
      <w:r>
        <w:rPr>
          <w:b/>
          <w:i/>
          <w:color w:val="1F3352"/>
          <w:sz w:val="23"/>
        </w:rPr>
        <w:t>Privacy-preserving fraud-signal sharing</w:t>
      </w:r>
    </w:p>
    <w:p w:rsidR="005E7230" w:rsidRDefault="00000000" w14:paraId="105E5667" w14:textId="77777777">
      <w:pPr>
        <w:spacing w:after="160" w:line="276" w:lineRule="auto"/>
        <w:jc w:val="both"/>
      </w:pPr>
      <w:r>
        <w:t>The presenter supported faster exchange of fraud indicators among payers, providers, and government programs. The proposed model would preserve privacy while giving defenders network-level visibility comparable to the networked capabilities used by attackers.</w:t>
      </w:r>
    </w:p>
    <w:p w:rsidR="005E7230" w:rsidRDefault="00000000" w14:paraId="0E2579D9" w14:textId="77777777">
      <w:pPr>
        <w:keepNext/>
        <w:spacing w:before="160" w:after="60"/>
      </w:pPr>
      <w:r>
        <w:rPr>
          <w:b/>
          <w:i/>
          <w:color w:val="1F3352"/>
          <w:sz w:val="23"/>
        </w:rPr>
        <w:t>Healthcare AI supply-chain assurance</w:t>
      </w:r>
    </w:p>
    <w:p w:rsidR="005E7230" w:rsidRDefault="00000000" w14:paraId="4EC037CC" w14:textId="77777777">
      <w:pPr>
        <w:spacing w:after="160" w:line="276" w:lineRule="auto"/>
        <w:jc w:val="both"/>
      </w:pPr>
      <w:r>
        <w:t>The presenter's sector-specific proposal also includes common disclosure and validation practices for healthcare vendors, including non-technical suppliers whose use of AI may affect data or operational decisions.</w:t>
      </w:r>
    </w:p>
    <w:p w:rsidR="005E7230" w:rsidRDefault="00000000" w14:paraId="3F296F44" w14:textId="77777777">
      <w:pPr>
        <w:keepNext/>
        <w:spacing w:before="320" w:after="160" w:line="252" w:lineRule="auto"/>
      </w:pPr>
      <w:r>
        <w:rPr>
          <w:b/>
          <w:color w:val="1F3352"/>
          <w:sz w:val="26"/>
        </w:rPr>
        <w:lastRenderedPageBreak/>
        <w:t>Question 4: How can industry and government best assure effective cybersecurity governance in the AI era?</w:t>
      </w:r>
    </w:p>
    <w:p w:rsidR="005E7230" w:rsidRDefault="00000000" w14:paraId="339E5B98" w14:textId="77777777">
      <w:pPr>
        <w:keepNext/>
        <w:spacing w:before="160" w:after="60"/>
      </w:pPr>
      <w:r>
        <w:rPr>
          <w:b/>
          <w:i/>
          <w:color w:val="1F3352"/>
          <w:sz w:val="23"/>
        </w:rPr>
        <w:t>Measure the reach and speed of governance</w:t>
      </w:r>
    </w:p>
    <w:p w:rsidR="005E7230" w:rsidRDefault="00000000" w14:paraId="5D2CB287" w14:textId="77777777">
      <w:pPr>
        <w:spacing w:after="160" w:line="276" w:lineRule="auto"/>
        <w:jc w:val="both"/>
      </w:pPr>
      <w:r>
        <w:t xml:space="preserve">The presenter reported that mature governance structures can still be outpaced by deployment. Boards should therefore ask not only whether a responsible-AI program or review board exists, but how quickly it operates and what share of AI </w:t>
      </w:r>
      <w:proofErr w:type="gramStart"/>
      <w:r>
        <w:t>actually in</w:t>
      </w:r>
      <w:proofErr w:type="gramEnd"/>
      <w:r>
        <w:t xml:space="preserve"> use has passed through the process.</w:t>
      </w:r>
    </w:p>
    <w:p w:rsidR="005E7230" w:rsidRDefault="00000000" w14:paraId="16C9DCDB" w14:textId="77777777">
      <w:pPr>
        <w:keepNext/>
        <w:spacing w:before="160" w:after="60"/>
      </w:pPr>
      <w:r>
        <w:rPr>
          <w:b/>
          <w:i/>
          <w:color w:val="1F3352"/>
          <w:sz w:val="23"/>
        </w:rPr>
        <w:t>Permit-to-operate embedded in the workflow</w:t>
      </w:r>
    </w:p>
    <w:p w:rsidR="005E7230" w:rsidRDefault="00000000" w14:paraId="592A820B" w14:textId="77777777">
      <w:pPr>
        <w:spacing w:after="160" w:line="276" w:lineRule="auto"/>
        <w:jc w:val="both"/>
      </w:pPr>
      <w:r>
        <w:t>The governance model places defined checks within the development and deployment process. It is intended to provide a usable path for approved adoption while preventing technical access from being treated as authorization.</w:t>
      </w:r>
    </w:p>
    <w:p w:rsidR="005E7230" w:rsidRDefault="00000000" w14:paraId="4ECBBA95" w14:textId="77777777">
      <w:pPr>
        <w:keepNext/>
        <w:spacing w:before="160" w:after="60"/>
      </w:pPr>
      <w:r>
        <w:rPr>
          <w:b/>
          <w:i/>
          <w:color w:val="1F3352"/>
          <w:sz w:val="23"/>
        </w:rPr>
        <w:t>AI-specific testing and continuous monitoring</w:t>
      </w:r>
    </w:p>
    <w:p w:rsidR="005E7230" w:rsidRDefault="00000000" w14:paraId="78C1D71E" w14:textId="77777777">
      <w:pPr>
        <w:spacing w:after="160" w:line="276" w:lineRule="auto"/>
        <w:jc w:val="both"/>
      </w:pPr>
      <w:r>
        <w:t>The presenter called for red-team and evaluation practices that address data poisoning, prompt injection, agent behavior, and other AI-specific risks. Monitoring should establish behavioral baselines and should not rely solely on an agent's own account of its actions.</w:t>
      </w:r>
    </w:p>
    <w:p w:rsidR="005E7230" w:rsidRDefault="00000000" w14:paraId="3F6696CE" w14:textId="77777777">
      <w:pPr>
        <w:keepNext/>
        <w:spacing w:before="160" w:after="60"/>
      </w:pPr>
      <w:r>
        <w:rPr>
          <w:b/>
          <w:i/>
          <w:color w:val="1F3352"/>
          <w:sz w:val="23"/>
        </w:rPr>
        <w:t>Govern the complete agent lifecycle</w:t>
      </w:r>
    </w:p>
    <w:p w:rsidR="005E7230" w:rsidRDefault="00000000" w14:paraId="5DB42EE2" w14:textId="77777777">
      <w:pPr>
        <w:spacing w:after="160" w:line="276" w:lineRule="auto"/>
        <w:jc w:val="both"/>
      </w:pPr>
      <w:r>
        <w:t xml:space="preserve">The presenter's workforce analogy provides a governance sequence: evaluate, credential, assign access, monitor conduct, respond to deviations, and retire the agent. The board discussion emphasized verifying that retired models and their permissions have </w:t>
      </w:r>
      <w:proofErr w:type="gramStart"/>
      <w:r>
        <w:t>actually been</w:t>
      </w:r>
      <w:proofErr w:type="gramEnd"/>
      <w:r>
        <w:t xml:space="preserve"> removed.</w:t>
      </w:r>
    </w:p>
    <w:p w:rsidR="005E7230" w:rsidRDefault="00000000" w14:paraId="647769F8" w14:textId="77777777">
      <w:pPr>
        <w:keepNext/>
        <w:spacing w:before="160" w:after="60"/>
      </w:pPr>
      <w:r>
        <w:rPr>
          <w:b/>
          <w:i/>
          <w:color w:val="1F3352"/>
          <w:sz w:val="23"/>
        </w:rPr>
        <w:t>Extend governance across the ecosystem</w:t>
      </w:r>
    </w:p>
    <w:p w:rsidR="005E7230" w:rsidRDefault="00000000" w14:paraId="54292F13" w14:textId="77777777">
      <w:pPr>
        <w:spacing w:after="160" w:line="276" w:lineRule="auto"/>
        <w:jc w:val="both"/>
      </w:pPr>
      <w:r>
        <w:t>Large healthcare organizations should account for suppliers, distribution channels, downstream providers, and other partners that may use AI without equivalent controls. Government programs should likewise be designed to support the lower end of the sector rather than regulating only the most capable organizations.</w:t>
      </w:r>
    </w:p>
    <w:p w:rsidR="005E7230" w:rsidRDefault="00000000" w14:paraId="4AFFDFE4" w14:textId="77777777">
      <w:pPr>
        <w:keepNext/>
        <w:spacing w:before="160" w:after="60"/>
      </w:pPr>
      <w:r>
        <w:rPr>
          <w:b/>
          <w:i/>
          <w:color w:val="1F3352"/>
          <w:sz w:val="23"/>
        </w:rPr>
        <w:t>Reconstruct consequential decisions</w:t>
      </w:r>
    </w:p>
    <w:p w:rsidR="005E7230" w:rsidRDefault="00000000" w14:paraId="553D0E8F" w14:textId="77777777">
      <w:pPr>
        <w:spacing w:after="160" w:line="276" w:lineRule="auto"/>
        <w:jc w:val="both"/>
      </w:pPr>
      <w:r>
        <w:t xml:space="preserve">The source draft reflects board discussion that AI-supported decisions affecting claims, authorization, care, or systems of record should be explainable and </w:t>
      </w:r>
      <w:proofErr w:type="spellStart"/>
      <w:r>
        <w:t>reconstructable</w:t>
      </w:r>
      <w:proofErr w:type="spellEnd"/>
      <w:r>
        <w:t xml:space="preserve"> after the fact. Material incidents should be communicated to boards and relevant auditors early.</w:t>
      </w:r>
    </w:p>
    <w:sectPr w:rsidR="005E7230">
      <w:footerReference w:type="default" r:id="rId7"/>
      <w:pgSz w:w="12240" w:h="15840" w:orient="portrait"/>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444AA1" w:rsidRDefault="00444AA1" w14:paraId="4C12C9FA" w14:textId="77777777">
      <w:r>
        <w:separator/>
      </w:r>
    </w:p>
  </w:endnote>
  <w:endnote w:type="continuationSeparator" w:id="0">
    <w:p w:rsidR="00444AA1" w:rsidRDefault="00444AA1" w14:paraId="03A30F6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5E7230" w:rsidRDefault="00000000" w14:paraId="7B31D12E" w14:textId="77777777">
    <w:pPr>
      <w:jc w:val="center"/>
    </w:pPr>
    <w:r>
      <w:rPr>
        <w:color w:val="666666"/>
        <w:sz w:val="18"/>
        <w:szCs w:val="18"/>
      </w:rPr>
      <w:t xml:space="preserve">ISA Sector Analysis — </w:t>
    </w:r>
    <w:proofErr w:type="gramStart"/>
    <w:r>
      <w:rPr>
        <w:color w:val="666666"/>
        <w:sz w:val="18"/>
        <w:szCs w:val="18"/>
      </w:rPr>
      <w:t>Healthcare  ·</w:t>
    </w:r>
    <w:proofErr w:type="gramEnd"/>
    <w:r>
      <w:rPr>
        <w:color w:val="666666"/>
        <w:sz w:val="18"/>
        <w:szCs w:val="18"/>
      </w:rPr>
      <w:t xml:space="preserve">  </w:t>
    </w:r>
    <w:r>
      <w:rPr>
        <w:color w:val="666666"/>
        <w:sz w:val="18"/>
        <w:szCs w:val="18"/>
      </w:rPr>
      <w:fldChar w:fldCharType="begin"/>
    </w:r>
    <w:r>
      <w:rPr>
        <w:color w:val="666666"/>
        <w:sz w:val="18"/>
        <w:szCs w:val="18"/>
      </w:rPr>
      <w:instrText>PAGE</w:instrText>
    </w:r>
    <w:r>
      <w:rPr>
        <w:color w:val="666666"/>
        <w:sz w:val="18"/>
        <w:szCs w:val="18"/>
      </w:rPr>
      <w:fldChar w:fldCharType="separate"/>
    </w:r>
    <w:r w:rsidR="008F4F06">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444AA1" w:rsidRDefault="00444AA1" w14:paraId="42054B02" w14:textId="77777777">
      <w:r>
        <w:separator/>
      </w:r>
    </w:p>
  </w:footnote>
  <w:footnote w:type="continuationSeparator" w:id="0">
    <w:p w:rsidR="00444AA1" w:rsidRDefault="00444AA1" w14:paraId="16A9B6A0" w14:textId="77777777">
      <w:r>
        <w:continuationSeparator/>
      </w:r>
    </w:p>
  </w:footnote>
</w:footnotes>
</file>

<file path=word/intelligence2.xml><?xml version="1.0" encoding="utf-8"?>
<int2:intelligence xmlns:int2="http://schemas.microsoft.com/office/intelligence/2020/intelligence">
  <int2:observations>
    <int2:textHash int2:hashCode="+YCspckRuAWB40" int2:id="T2wjLQ73">
      <int2:state int2:type="spell" int2:value="Rejected"/>
    </int2:textHash>
    <int2:bookmark int2:bookmarkName="_Int_LE3kPEBX" int2:invalidationBookmarkName="" int2:hashCode="HPDXrqbT50skoB" int2:id="C0nmBG6g">
      <int2:state int2:type="gram" int2:value="Rejected"/>
    </int2:bookmark>
    <int2:bookmark int2:bookmarkName="_Int_oqlaHx6g" int2:invalidationBookmarkName="" int2:hashCode="P2YFKhB+r5uufK" int2:id="2dfbDVKS">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DF1EA5"/>
    <w:multiLevelType w:val="hybridMultilevel"/>
    <w:tmpl w:val="8C0E75FE"/>
    <w:lvl w:ilvl="0" w:tplc="234225AC">
      <w:numFmt w:val="bullet"/>
      <w:lvlText w:val=""/>
      <w:lvlJc w:val="left"/>
      <w:pPr>
        <w:ind w:left="720" w:hanging="360"/>
      </w:pPr>
      <w:rPr>
        <w:rFonts w:hint="default" w:ascii="Symbol" w:hAnsi="Symbol" w:eastAsia="Cambria" w:cs="Cambr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1594E04"/>
    <w:multiLevelType w:val="hybridMultilevel"/>
    <w:tmpl w:val="6FE2C7E2"/>
    <w:lvl w:ilvl="0" w:tplc="A50C2B0C">
      <w:start w:val="1"/>
      <w:numFmt w:val="bullet"/>
      <w:lvlText w:val="●"/>
      <w:lvlJc w:val="left"/>
      <w:pPr>
        <w:ind w:left="720" w:hanging="360"/>
      </w:pPr>
    </w:lvl>
    <w:lvl w:ilvl="1" w:tplc="EB6E66C4">
      <w:start w:val="1"/>
      <w:numFmt w:val="bullet"/>
      <w:lvlText w:val="○"/>
      <w:lvlJc w:val="left"/>
      <w:pPr>
        <w:ind w:left="1440" w:hanging="360"/>
      </w:pPr>
    </w:lvl>
    <w:lvl w:ilvl="2" w:tplc="D9DC7D26">
      <w:start w:val="1"/>
      <w:numFmt w:val="bullet"/>
      <w:lvlText w:val="■"/>
      <w:lvlJc w:val="left"/>
      <w:pPr>
        <w:ind w:left="2160" w:hanging="360"/>
      </w:pPr>
    </w:lvl>
    <w:lvl w:ilvl="3" w:tplc="89B2DDA0">
      <w:start w:val="1"/>
      <w:numFmt w:val="bullet"/>
      <w:lvlText w:val="●"/>
      <w:lvlJc w:val="left"/>
      <w:pPr>
        <w:ind w:left="2880" w:hanging="360"/>
      </w:pPr>
    </w:lvl>
    <w:lvl w:ilvl="4" w:tplc="D0C6D26E">
      <w:start w:val="1"/>
      <w:numFmt w:val="bullet"/>
      <w:lvlText w:val="○"/>
      <w:lvlJc w:val="left"/>
      <w:pPr>
        <w:ind w:left="3600" w:hanging="360"/>
      </w:pPr>
    </w:lvl>
    <w:lvl w:ilvl="5" w:tplc="7DCA28A2">
      <w:start w:val="1"/>
      <w:numFmt w:val="bullet"/>
      <w:lvlText w:val="■"/>
      <w:lvlJc w:val="left"/>
      <w:pPr>
        <w:ind w:left="4320" w:hanging="360"/>
      </w:pPr>
    </w:lvl>
    <w:lvl w:ilvl="6" w:tplc="42866136">
      <w:start w:val="1"/>
      <w:numFmt w:val="bullet"/>
      <w:lvlText w:val="●"/>
      <w:lvlJc w:val="left"/>
      <w:pPr>
        <w:ind w:left="5040" w:hanging="360"/>
      </w:pPr>
    </w:lvl>
    <w:lvl w:ilvl="7" w:tplc="D9AA0680">
      <w:start w:val="1"/>
      <w:numFmt w:val="bullet"/>
      <w:lvlText w:val="●"/>
      <w:lvlJc w:val="left"/>
      <w:pPr>
        <w:ind w:left="5760" w:hanging="360"/>
      </w:pPr>
    </w:lvl>
    <w:lvl w:ilvl="8" w:tplc="D6C8592A">
      <w:start w:val="1"/>
      <w:numFmt w:val="bullet"/>
      <w:lvlText w:val="●"/>
      <w:lvlJc w:val="left"/>
      <w:pPr>
        <w:ind w:left="6480" w:hanging="360"/>
      </w:pPr>
    </w:lvl>
  </w:abstractNum>
  <w:num w:numId="1" w16cid:durableId="620385373">
    <w:abstractNumId w:val="1"/>
    <w:lvlOverride w:ilvl="0">
      <w:startOverride w:val="1"/>
    </w:lvlOverride>
  </w:num>
  <w:num w:numId="2" w16cid:durableId="2738995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hideSpellingErrors/>
  <w:hideGrammaticalError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230"/>
    <w:rsid w:val="0032010E"/>
    <w:rsid w:val="003351A1"/>
    <w:rsid w:val="003E6F4C"/>
    <w:rsid w:val="00444AA1"/>
    <w:rsid w:val="005E7230"/>
    <w:rsid w:val="008F4F06"/>
    <w:rsid w:val="00C535BE"/>
    <w:rsid w:val="00D521CB"/>
    <w:rsid w:val="00DC43BF"/>
    <w:rsid w:val="00E6520D"/>
    <w:rsid w:val="38B11A6B"/>
    <w:rsid w:val="3D5DC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C8F53"/>
  <w15:docId w15:val="{01C5D55A-CA74-4BE4-88BB-0721D5E81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hAnsi="Cambria" w:eastAsia="Cambria" w:cs="Cambri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microsoft.com/office/2020/10/relationships/intelligence" Target="intelligence2.xml" Id="R6b3572636cdc44b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B7298E6E9BC34E980395B583061CFB" ma:contentTypeVersion="18" ma:contentTypeDescription="Create a new document." ma:contentTypeScope="" ma:versionID="afa86aa6098c1bf0af2f331ce85d2649">
  <xsd:schema xmlns:xsd="http://www.w3.org/2001/XMLSchema" xmlns:xs="http://www.w3.org/2001/XMLSchema" xmlns:p="http://schemas.microsoft.com/office/2006/metadata/properties" xmlns:ns2="6354fb6d-b975-4812-b235-4cd3ecf35ee9" xmlns:ns3="2d78a3be-2cd5-4ec9-a46a-bba9b8acb549" targetNamespace="http://schemas.microsoft.com/office/2006/metadata/properties" ma:root="true" ma:fieldsID="447961d4b3b873c078f693699e736c0c" ns2:_="" ns3:_="">
    <xsd:import namespace="6354fb6d-b975-4812-b235-4cd3ecf35ee9"/>
    <xsd:import namespace="2d78a3be-2cd5-4ec9-a46a-bba9b8acb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54fb6d-b975-4812-b235-4cd3ecf35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93880ad-313f-46c0-8142-ae925325c3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78a3be-2cd5-4ec9-a46a-bba9b8acb54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0550ad6-c585-48cf-918b-c48e8d51fbc6}" ma:internalName="TaxCatchAll" ma:showField="CatchAllData" ma:web="2d78a3be-2cd5-4ec9-a46a-bba9b8acb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54fb6d-b975-4812-b235-4cd3ecf35ee9">
      <Terms xmlns="http://schemas.microsoft.com/office/infopath/2007/PartnerControls"/>
    </lcf76f155ced4ddcb4097134ff3c332f>
    <TaxCatchAll xmlns="2d78a3be-2cd5-4ec9-a46a-bba9b8acb549" xsi:nil="true"/>
  </documentManagement>
</p:properties>
</file>

<file path=customXml/itemProps1.xml><?xml version="1.0" encoding="utf-8"?>
<ds:datastoreItem xmlns:ds="http://schemas.openxmlformats.org/officeDocument/2006/customXml" ds:itemID="{645DFC1A-1464-4966-96FA-6E7BF84F3FC5}"/>
</file>

<file path=customXml/itemProps2.xml><?xml version="1.0" encoding="utf-8"?>
<ds:datastoreItem xmlns:ds="http://schemas.openxmlformats.org/officeDocument/2006/customXml" ds:itemID="{48D334A1-1E46-44B8-AAAC-3B3560DECC38}"/>
</file>

<file path=customXml/itemProps3.xml><?xml version="1.0" encoding="utf-8"?>
<ds:datastoreItem xmlns:ds="http://schemas.openxmlformats.org/officeDocument/2006/customXml" ds:itemID="{225AB69F-CF5D-4D73-9A52-02D89D9B466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Un-named</dc:creator>
  <dc:description>Revised to organize the summary around the four Board questions and avoid adding new policy positions.</dc:description>
  <lastModifiedBy>Jenna Stover (ADMIN)</lastModifiedBy>
  <revision>3</revision>
  <dcterms:created xsi:type="dcterms:W3CDTF">2026-07-17T17:26:00.0000000Z</dcterms:created>
  <dcterms:modified xsi:type="dcterms:W3CDTF">2026-08-26T11:58:30.4897081Z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7042f42c-edc0-471d-8120-83460593ef5f</vt:lpwstr>
  </property>
  <property fmtid="{D5CDD505-2E9C-101B-9397-08002B2CF9AE}" pid="3" name="ContentTypeId">
    <vt:lpwstr>0x01010002B7298E6E9BC34E980395B583061CFB</vt:lpwstr>
  </property>
  <property fmtid="{D5CDD505-2E9C-101B-9397-08002B2CF9AE}" pid="4" name="Order">
    <vt:r8>44000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MediaServiceImageTags">
    <vt:lpwstr/>
  </property>
</Properties>
</file>